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EF572" w14:textId="77777777" w:rsidR="002B576A" w:rsidRDefault="002B576A" w:rsidP="002B576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2BBC7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3987986" r:id="rId5"/>
        </w:object>
      </w:r>
    </w:p>
    <w:p w14:paraId="59AAFC2A" w14:textId="77777777" w:rsidR="002B576A" w:rsidRDefault="002B576A" w:rsidP="002B57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14:paraId="0F98CAE0" w14:textId="77777777" w:rsidR="002B576A" w:rsidRDefault="002B576A" w:rsidP="002B576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73ABB143" w14:textId="77777777" w:rsidR="002B576A" w:rsidRDefault="002B576A" w:rsidP="002B576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1CBC58E5" w14:textId="77777777" w:rsidR="002B576A" w:rsidRDefault="002B576A" w:rsidP="002B576A">
      <w:pPr>
        <w:jc w:val="center"/>
        <w:rPr>
          <w:b/>
          <w:sz w:val="32"/>
          <w:szCs w:val="32"/>
          <w:lang w:val="uk-UA"/>
        </w:rPr>
      </w:pPr>
    </w:p>
    <w:p w14:paraId="00AAFEEB" w14:textId="77777777" w:rsidR="002B576A" w:rsidRDefault="002B576A" w:rsidP="002B576A">
      <w:pPr>
        <w:jc w:val="center"/>
        <w:rPr>
          <w:b/>
          <w:sz w:val="32"/>
          <w:szCs w:val="32"/>
          <w:lang w:val="uk-UA"/>
        </w:rPr>
      </w:pPr>
      <w:r w:rsidRPr="007C2826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7C2826">
        <w:rPr>
          <w:b/>
          <w:sz w:val="32"/>
          <w:szCs w:val="32"/>
          <w:lang w:val="uk-UA"/>
        </w:rPr>
        <w:t>Н</w:t>
      </w:r>
      <w:proofErr w:type="spellEnd"/>
      <w:r w:rsidRPr="007C2826">
        <w:rPr>
          <w:b/>
          <w:sz w:val="32"/>
          <w:szCs w:val="32"/>
          <w:lang w:val="uk-UA"/>
        </w:rPr>
        <w:t xml:space="preserve"> Я</w:t>
      </w:r>
    </w:p>
    <w:p w14:paraId="3B0239EA" w14:textId="4A295ECF" w:rsidR="002B576A" w:rsidRDefault="00D7332F" w:rsidP="002B57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F7496DB" w14:textId="0FCF8A3B" w:rsidR="002B576A" w:rsidRDefault="00D7332F" w:rsidP="002B576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2B576A">
        <w:rPr>
          <w:b/>
          <w:sz w:val="28"/>
          <w:szCs w:val="28"/>
          <w:lang w:val="uk-UA"/>
        </w:rPr>
        <w:t xml:space="preserve">ід </w:t>
      </w:r>
      <w:r w:rsidR="003529B8">
        <w:rPr>
          <w:b/>
          <w:sz w:val="28"/>
          <w:szCs w:val="28"/>
          <w:lang w:val="uk-UA"/>
        </w:rPr>
        <w:t>23</w:t>
      </w:r>
      <w:r w:rsidR="002B576A">
        <w:rPr>
          <w:b/>
          <w:sz w:val="28"/>
          <w:szCs w:val="28"/>
          <w:lang w:val="uk-UA"/>
        </w:rPr>
        <w:t xml:space="preserve"> </w:t>
      </w:r>
      <w:r w:rsidR="003529B8">
        <w:rPr>
          <w:b/>
          <w:sz w:val="28"/>
          <w:szCs w:val="28"/>
          <w:lang w:val="uk-UA"/>
        </w:rPr>
        <w:t xml:space="preserve">вересня </w:t>
      </w:r>
      <w:r w:rsidR="002B576A">
        <w:rPr>
          <w:b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</w:t>
      </w:r>
      <w:r w:rsidR="002B576A">
        <w:rPr>
          <w:b/>
          <w:sz w:val="28"/>
          <w:szCs w:val="28"/>
          <w:lang w:val="uk-UA"/>
        </w:rPr>
        <w:t xml:space="preserve">№ </w:t>
      </w:r>
      <w:r w:rsidR="00BC696A">
        <w:rPr>
          <w:b/>
          <w:sz w:val="28"/>
          <w:szCs w:val="28"/>
          <w:lang w:val="uk-UA"/>
        </w:rPr>
        <w:t>84</w:t>
      </w:r>
    </w:p>
    <w:p w14:paraId="16CC347D" w14:textId="77777777" w:rsidR="002B576A" w:rsidRDefault="002B576A" w:rsidP="002B576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14:paraId="33066C96" w14:textId="77777777" w:rsidR="002B576A" w:rsidRDefault="002B576A" w:rsidP="002B576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Про запровадження карантинних</w:t>
      </w:r>
    </w:p>
    <w:p w14:paraId="188093C8" w14:textId="77777777" w:rsidR="002B576A" w:rsidRDefault="002B576A" w:rsidP="002B576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заходів для недопущення поширення</w:t>
      </w:r>
    </w:p>
    <w:p w14:paraId="17B2189B" w14:textId="7AE5060D" w:rsidR="002B576A" w:rsidRDefault="002B576A" w:rsidP="002B576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на території  Березнянської  ТГ</w:t>
      </w:r>
    </w:p>
    <w:p w14:paraId="2666A796" w14:textId="77777777" w:rsidR="002B576A" w:rsidRDefault="002B576A" w:rsidP="002B576A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b/>
          <w:bCs/>
          <w:color w:val="333333"/>
          <w:sz w:val="28"/>
          <w:szCs w:val="28"/>
          <w:bdr w:val="none" w:sz="0" w:space="0" w:color="auto" w:frame="1"/>
        </w:rPr>
        <w:t>коронавірусу</w:t>
      </w:r>
      <w:proofErr w:type="spellEnd"/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С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OVID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-19</w:t>
      </w:r>
    </w:p>
    <w:p w14:paraId="4B37DE96" w14:textId="77777777" w:rsidR="002B576A" w:rsidRDefault="002B576A" w:rsidP="002B576A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2E883539" w14:textId="474AFDF6" w:rsidR="002F0DE4" w:rsidRDefault="002F0DE4" w:rsidP="00AF5A5D">
      <w:pPr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</w:t>
      </w:r>
      <w:r w:rsidRPr="002F0DE4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Відповідно до </w:t>
      </w:r>
      <w:r w:rsidR="00AF5A5D" w:rsidRP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постанови  Кабінету  Міністрів  України  від 09.12.2020  року  №1236  «Про  встановлення  карантину  та  запровадження обмежувальних заходів з метою запобігання  поширенню на території України гострої  респіраторної  хвороби  COVID-19,  спричиненої  </w:t>
      </w:r>
      <w:proofErr w:type="spellStart"/>
      <w:r w:rsidR="00AF5A5D" w:rsidRP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коронавірусом</w:t>
      </w:r>
      <w:proofErr w:type="spellEnd"/>
      <w:r w:rsidR="00AF5A5D" w:rsidRP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SARS-CoV-2» , рішенням Державної комісії з питань техногенно-екологічної  безпеки  та  надзвичайних  ситуацій  від  2</w:t>
      </w:r>
      <w:r w:rsid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</w:t>
      </w:r>
      <w:r w:rsidR="00AF5A5D" w:rsidRP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.09.2021  протокол  № </w:t>
      </w:r>
      <w:r w:rsid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35 </w:t>
      </w:r>
      <w:r w:rsidR="00AF5A5D" w:rsidRP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>встановлений «жовтий» рівень епідемічної небезпеки поширення COVID-19 на території  всіх  регіонів  України  з  00  год.  00  хвилин  23  вересня  2021  року</w:t>
      </w:r>
      <w:r w:rsidRPr="002F0DE4">
        <w:rPr>
          <w:color w:val="333333"/>
          <w:sz w:val="28"/>
          <w:szCs w:val="28"/>
          <w:bdr w:val="none" w:sz="0" w:space="0" w:color="auto" w:frame="1"/>
          <w:lang w:val="uk-UA" w:eastAsia="uk-UA"/>
        </w:rPr>
        <w:t>, рішенням обласної комісії з питань техногенно – екологічної безпеки №</w:t>
      </w:r>
      <w:r w:rsid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>26</w:t>
      </w:r>
      <w:r w:rsidRPr="002F0DE4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від </w:t>
      </w:r>
      <w:r w:rsidR="00AF5A5D">
        <w:rPr>
          <w:color w:val="333333"/>
          <w:sz w:val="28"/>
          <w:szCs w:val="28"/>
          <w:bdr w:val="none" w:sz="0" w:space="0" w:color="auto" w:frame="1"/>
          <w:lang w:val="uk-UA" w:eastAsia="uk-UA"/>
        </w:rPr>
        <w:t>22.09</w:t>
      </w:r>
      <w:r w:rsidRPr="002F0DE4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.2021 року,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рішенням селищної комісії по надзвичайних ситуаціях техногенного та природного характеру №</w:t>
      </w:r>
      <w:r w:rsidR="003529B8">
        <w:rPr>
          <w:color w:val="333333"/>
          <w:sz w:val="28"/>
          <w:szCs w:val="28"/>
          <w:bdr w:val="none" w:sz="0" w:space="0" w:color="auto" w:frame="1"/>
          <w:lang w:val="uk-UA" w:eastAsia="uk-UA"/>
        </w:rPr>
        <w:t>9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від </w:t>
      </w:r>
      <w:r w:rsidR="002975CF">
        <w:rPr>
          <w:color w:val="333333"/>
          <w:sz w:val="28"/>
          <w:szCs w:val="28"/>
          <w:bdr w:val="none" w:sz="0" w:space="0" w:color="auto" w:frame="1"/>
          <w:lang w:val="uk-UA" w:eastAsia="uk-UA"/>
        </w:rPr>
        <w:t>23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="002975CF">
        <w:rPr>
          <w:color w:val="333333"/>
          <w:sz w:val="28"/>
          <w:szCs w:val="28"/>
          <w:bdr w:val="none" w:sz="0" w:space="0" w:color="auto" w:frame="1"/>
          <w:lang w:val="uk-UA" w:eastAsia="uk-UA"/>
        </w:rPr>
        <w:t>9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 року.</w:t>
      </w:r>
    </w:p>
    <w:p w14:paraId="190DCA4D" w14:textId="31D51F8B" w:rsidR="002F0DE4" w:rsidRDefault="002F0DE4" w:rsidP="002F0DE4">
      <w:pPr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</w:p>
    <w:p w14:paraId="0C098DEC" w14:textId="4B1C4BE4" w:rsidR="002975CF" w:rsidRPr="00832FD2" w:rsidRDefault="00832FD2" w:rsidP="002975CF">
      <w:pPr>
        <w:pStyle w:val="a3"/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bookmarkStart w:id="0" w:name="_Hlk69459897"/>
      <w:r w:rsidRPr="00832FD2">
        <w:rPr>
          <w:b/>
          <w:bCs/>
          <w:color w:val="333333"/>
          <w:sz w:val="28"/>
          <w:szCs w:val="28"/>
          <w:bdr w:val="none" w:sz="0" w:space="0" w:color="auto" w:frame="1"/>
        </w:rPr>
        <w:t>Заборонити</w:t>
      </w:r>
      <w:r w:rsidR="002975CF" w:rsidRPr="00832FD2">
        <w:rPr>
          <w:b/>
          <w:bCs/>
          <w:color w:val="333333"/>
          <w:sz w:val="28"/>
          <w:szCs w:val="28"/>
          <w:bdr w:val="none" w:sz="0" w:space="0" w:color="auto" w:frame="1"/>
        </w:rPr>
        <w:t>:</w:t>
      </w:r>
    </w:p>
    <w:p w14:paraId="6F9F6138" w14:textId="77EEC408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1.1. перебування в громадських будинках і спорудах, громадському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транспорті без вдягнутих засобів індивідуального захисту, зокрема респіраторів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або захисних масок, що закривають ніс та рот, у тому числі виготовлених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самостійно;</w:t>
      </w:r>
    </w:p>
    <w:p w14:paraId="50618BAB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0FE9B205" w14:textId="00CF1760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1.2. перебування на вулицях без документів, що посвідчують особу,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підтверджують громадянство чи її спеціальний статус, без посвідчення про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взяття на облік бездомної особи, довідки про звернення за захистом в Україні;</w:t>
      </w:r>
    </w:p>
    <w:p w14:paraId="135F2E75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4585F14E" w14:textId="23C06CEF" w:rsid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1.3. самовільно залишати місця самоізоляції, обсервації;</w:t>
      </w:r>
    </w:p>
    <w:p w14:paraId="281FC300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2922216" w14:textId="795D055C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1.4. здійснення регулярних та нерегулярних перевезень пасажирів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автомобільним транспортом, зокрема перевезень пасажирів на міських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автобусних маршрутах у режимі маршрутного таксі, в електричному (трамвай,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тролейбус), залізничному транспорті, у міському, приміському, міжміському,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внутрішньообласному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та міжобласному сполученні, в кількості більшій, ніж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кількість місць для сидіння, що передбачена технічною характеристикою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lastRenderedPageBreak/>
        <w:t>транспортного засобу, визначена в реєстраційних документах на такий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транспортний засіб;</w:t>
      </w:r>
    </w:p>
    <w:p w14:paraId="0B325474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64FDBD5B" w14:textId="634FDA9D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1.5. діяльності суб’єктів господарювання, які обслуговують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відвідувачів, у яких:</w:t>
      </w:r>
    </w:p>
    <w:p w14:paraId="0979665F" w14:textId="064BB9D3" w:rsid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не нанесено маркування для перебування в черзі з дотриманням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дистанції між клієнтами не менш як 1,5 метра;</w:t>
      </w:r>
    </w:p>
    <w:p w14:paraId="222483E9" w14:textId="77777777" w:rsidR="00F61F20" w:rsidRPr="002975CF" w:rsidRDefault="00F61F20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D962A46" w14:textId="0B2A7E6B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не забезпечено працівників засобами індивідуального захисту, зокрема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захисними масками або респіраторами, та не здійснюється належний контроль</w:t>
      </w:r>
    </w:p>
    <w:p w14:paraId="24E08E55" w14:textId="6DE53438" w:rsid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за їх використанням;</w:t>
      </w:r>
    </w:p>
    <w:p w14:paraId="0D11397D" w14:textId="77777777" w:rsidR="00F61F20" w:rsidRPr="002975CF" w:rsidRDefault="00F61F20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596C5D8B" w14:textId="68D72EAC" w:rsid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здійснюється обслуговування покупців без одягнутих засобів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індивідуального захисту, зокрема захисних масок або респіраторів, які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закривають ніс та рот, у тому числі виготовлених самостійно, за винятком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обслуговування за межами будівлі суб’єкта господарювання (через вікна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видачі, тераси тощо);</w:t>
      </w:r>
    </w:p>
    <w:p w14:paraId="22267A84" w14:textId="77777777" w:rsidR="00F61F20" w:rsidRPr="002975CF" w:rsidRDefault="00F61F20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0386C4C" w14:textId="37F327D4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не забезпечується централізований збір використаних засобів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індивідуального захисту в окремі контейнери (урни).</w:t>
      </w:r>
    </w:p>
    <w:p w14:paraId="5F9F5256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7F3BE492" w14:textId="6D23ECEA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1.6. проведення масових (культурних, спортивних, розважальних,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соціальних, релігійних, рекламних, наукових, освітніх, професійних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тематичних та інших) заходів (у тому числі в розважальних закладах (нічних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клубах) і закладах громадського харчування) за участю більше однієї особи на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4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кв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>. метри площі будівлі або території (якщо захід проводиться на відкритому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повітрі) або наповненістю залів понад дві третини місць (розміщення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здійснюється з дотриманням заповнення двох рядів відвідувачами і одним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порожнім рядом) у кожному окремому залі, крім заходів, необхідних для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забезпечення роботи органів державної влади та органів місцевого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самоврядування, проведення кваліфікаційного іспиту на право на зайняття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нотаріальною діяльністю, тестування на знання законодавства у сфері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державної реєстрації осіб, які мають намір виконувати функції державного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реєстратора, атестації здобувачів у формі єдиного державного кваліфікаційного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іспиту (включно з апробаційним проведенням єдиного державного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кваліфікаційного іспиту) і тестових екзаменів ліцензійних інтегрованих іспитів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“Крок” (далі - атестація здобувачів), проведення офіційних спортивних заходів,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включених до Єдиного календарного плану фізкультурно-оздоровчих та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спортивних заходів України, та матчів командних ігрових видів спорту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професійних спортивних клубів із глядачами з наповненістю споруд,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приміщень не більш як дві третини місць і за умови дотримання учасниками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таких заходів відповідних санітарних та протиепідемічних заходів і здійснення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обов’язкового щоденного контролю за станом здоров’я учасників;</w:t>
      </w:r>
    </w:p>
    <w:p w14:paraId="37BCB937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3F97FA91" w14:textId="7E54894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1.7. приймання відвідувачів у кінотеатрах, інших закладах культури та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приймання відвідувачів іншими суб’єктами діяльності у сфері культури з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наповненістю кінозалів або залів понад дві третини місць (розміщення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здійснюється з дотриманням заповнення двох рядів відвідувачами і одним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порожнім рядом) або понад 50 відсотків місць (розміщення здійснюється з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lastRenderedPageBreak/>
        <w:t>дотриманням шахового порядку, зокрема для груп із двох осіб) у кожному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окремому кінозалі або залі;</w:t>
      </w:r>
    </w:p>
    <w:p w14:paraId="44746385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4C26D01D" w14:textId="482B158C" w:rsidR="002975CF" w:rsidRPr="002975CF" w:rsidRDefault="002975CF" w:rsidP="00F61F20">
      <w:pPr>
        <w:pStyle w:val="a3"/>
        <w:shd w:val="clear" w:color="auto" w:fill="FFFFFF"/>
        <w:tabs>
          <w:tab w:val="left" w:pos="8925"/>
        </w:tabs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1.8. розміщення відвідувачів у закладах громадського харчування на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відстані меншій, ніж 1,5 метри за сусідніми столиками та більш як чотири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особи за одним столом (без урахування дітей віком до 18 років), за умови, що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відвідувачі заходять до закладу і пересуваються по ньому з вдягненими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засобами індивідуального захисту, зокрема респіраторами або захисними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масками, що закривають ніс та рот, у тому числі виготовленими самостійно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(крім часу сидіння за столом для приймання їжі та/або напоїв);</w:t>
      </w:r>
    </w:p>
    <w:p w14:paraId="080ABABD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770BB024" w14:textId="67CBB34E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1.9. відвідування закладів освіти здобувачами освіти у разі, коли на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самоізоляції через контакт з пацієнтом з підтвердженим випадком COVID-19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перебуває більш як 50 відсотків здобувачів освіти та персоналу закладу освіти;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1.10. проведення в закладах освіти масових заходів (вистав, свят,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концертів) за участю здобувачів освіти з більше ніж однієї групи (класу) та за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присутності глядачів (відвідувачів);</w:t>
      </w:r>
    </w:p>
    <w:p w14:paraId="1671488C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5F99E92F" w14:textId="21B87035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1.11. відвідування закладів освіти здобувачами освіти, крім закладів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освіти, в яких не менш як 80 відсотків працівників мають документ, що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підтверджує отримання повного курсу вакцинації, чи міжнародний, внутрішній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сертифікат або іноземний сертифікат, що підтверджує вакцинацію від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COVID-19 однією дозою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дводозної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вакцини (жовті сертифікати), або однією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дозою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однодозної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вакцини чи двома дозами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дводозної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вакцини (зелені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сертифікати), які включені Всесвітньою організацією охорони здоров’я до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переліку дозволених для використання в надзвичайних ситуаціях, негативний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результат тестування методом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полімеразної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ланцюгової реакції або одужання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особи від зазначеної хвороби, чинність якого підтверджена за допомогою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Єдиного державного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вебпорталу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електронних послуг, зокрема з використанням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мобільного додатка Порталу Дія (Дія);</w:t>
      </w:r>
    </w:p>
    <w:p w14:paraId="2E93A796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E412D78" w14:textId="3F2243E6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1.12. діяльність спортивних залів, фітнес-центрів, які не забезпечують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можливість обмежити кількість відвідувачів у залі з розрахунку одна особа на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10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кв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>. метрів загальної площі приміщення, басейнів Ї більше ніж чотири особи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на одній доріжці для індивідуальних занять або шість осіб для спортивно-тренувальних груп;</w:t>
      </w:r>
    </w:p>
    <w:p w14:paraId="457A0885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00B00D38" w14:textId="0599F100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1.13. відвідування сторонніми особами (крім законних представників,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членів сім’ї, родичів за умови дотримання всіх протиепідемічних заходів, не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частіше ніж один раз на тиждень) установ і закладів соціального захисту, в яких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тимчасово або постійно проживають (перебувають) громадяни похилого віку,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ветерани війни і праці, особи з інвалідністю, особи із стійкими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інтелектуальними або психічними порушеннями, установ і закладів, що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надають соціальні послуги сім’ям (особам), які перебувають у складних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життєвих обставинах, крім установ і закладів, які надають соціальні послуги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екстрено (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кризово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>);</w:t>
      </w:r>
    </w:p>
    <w:p w14:paraId="7CF7CD5F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0D7858E" w14:textId="6548C451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1.14. діяльність закладів, що надають послуги з розміщення (крім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готелів, санаторно-курортних закладів, установ і закладів, які надають соціальні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послуги, </w:t>
      </w:r>
      <w:r w:rsidRPr="002975CF">
        <w:rPr>
          <w:color w:val="333333"/>
          <w:sz w:val="28"/>
          <w:szCs w:val="28"/>
          <w:bdr w:val="none" w:sz="0" w:space="0" w:color="auto" w:frame="1"/>
        </w:rPr>
        <w:lastRenderedPageBreak/>
        <w:t>реабілітаційних установ для осіб з інвалідністю та дітей з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інвалідністю, а також стаціонарних відділень первинного та складного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протезування протезно-ортопедичних підприємств, що належать до сфери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управління Міністерства соціальної політики, дитячих закладів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оздоровлення та відпочинку).</w:t>
      </w:r>
    </w:p>
    <w:p w14:paraId="372B5C52" w14:textId="77777777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1581976C" w14:textId="77777777" w:rsidR="002975CF" w:rsidRPr="00643B58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643B58">
        <w:rPr>
          <w:b/>
          <w:bCs/>
          <w:color w:val="333333"/>
          <w:sz w:val="28"/>
          <w:szCs w:val="28"/>
          <w:bdr w:val="none" w:sz="0" w:space="0" w:color="auto" w:frame="1"/>
        </w:rPr>
        <w:t>Невідкладно</w:t>
      </w:r>
    </w:p>
    <w:p w14:paraId="335E6114" w14:textId="21A7DAF6" w:rsidR="002975CF" w:rsidRPr="002975CF" w:rsidRDefault="002975CF" w:rsidP="002975C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2975CF">
        <w:rPr>
          <w:color w:val="333333"/>
          <w:sz w:val="28"/>
          <w:szCs w:val="28"/>
          <w:bdr w:val="none" w:sz="0" w:space="0" w:color="auto" w:frame="1"/>
        </w:rPr>
        <w:t>Обмеження, передбачені підпунктами 1.6., 1.7., 1.8., 1.12. та 1.14., не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застосовуються за умови наявності у всіх учасників (відвідувачів), крім осіб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які не досягли 18 років, та не менш як у 80 відсотків організаторів заходу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(співробітників закладу) документа, що підтверджує отримання повного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курсу вакцинації, чи міжнародного, внутрішнього сертифіката або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іноземного сертифіката, що підтверджує вакцинацію від COVID-19 однією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дозою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дводозної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вакцини (жовті сертифікати), або однією дозою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однодозної</w:t>
      </w:r>
      <w:proofErr w:type="spellEnd"/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вакцини чи двома дозами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дводозної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вакцини (зелені сертифікати), які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включені Всесвітньою організацією охорони здоров’я до переліку дозволених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для використання в надзвичайних ситуаціях, негативний результат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тестування методом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полімеразної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ланцюгової реакції або одужання особи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>від зазначеної хвороби, чинність якого підтверджена за допомогою Єдиного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2975CF">
        <w:rPr>
          <w:color w:val="333333"/>
          <w:sz w:val="28"/>
          <w:szCs w:val="28"/>
          <w:bdr w:val="none" w:sz="0" w:space="0" w:color="auto" w:frame="1"/>
        </w:rPr>
        <w:t xml:space="preserve">державного </w:t>
      </w:r>
      <w:proofErr w:type="spellStart"/>
      <w:r w:rsidRPr="002975CF">
        <w:rPr>
          <w:color w:val="333333"/>
          <w:sz w:val="28"/>
          <w:szCs w:val="28"/>
          <w:bdr w:val="none" w:sz="0" w:space="0" w:color="auto" w:frame="1"/>
        </w:rPr>
        <w:t>вебпорталу</w:t>
      </w:r>
      <w:proofErr w:type="spellEnd"/>
      <w:r w:rsidRPr="002975CF">
        <w:rPr>
          <w:color w:val="333333"/>
          <w:sz w:val="28"/>
          <w:szCs w:val="28"/>
          <w:bdr w:val="none" w:sz="0" w:space="0" w:color="auto" w:frame="1"/>
        </w:rPr>
        <w:t xml:space="preserve"> електронних послуг, зокрема з використанням</w:t>
      </w:r>
      <w:r w:rsidR="00F61F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D43AAD">
        <w:rPr>
          <w:color w:val="333333"/>
          <w:sz w:val="28"/>
          <w:szCs w:val="28"/>
          <w:bdr w:val="none" w:sz="0" w:space="0" w:color="auto" w:frame="1"/>
        </w:rPr>
        <w:t>м</w:t>
      </w:r>
      <w:bookmarkStart w:id="1" w:name="_GoBack"/>
      <w:bookmarkEnd w:id="1"/>
      <w:r w:rsidRPr="002975CF">
        <w:rPr>
          <w:color w:val="333333"/>
          <w:sz w:val="28"/>
          <w:szCs w:val="28"/>
          <w:bdr w:val="none" w:sz="0" w:space="0" w:color="auto" w:frame="1"/>
        </w:rPr>
        <w:t>обільного додатка Порталу Дія (Дія).</w:t>
      </w:r>
    </w:p>
    <w:p w14:paraId="4ECFCF2E" w14:textId="30C91E6D" w:rsidR="002D03D8" w:rsidRDefault="002D03D8" w:rsidP="002D03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розпорядження покласти на комісію по надзвичайних ситуаціях техногенного та природнього характеру.</w:t>
      </w:r>
    </w:p>
    <w:p w14:paraId="10336331" w14:textId="1E7118C2" w:rsidR="002D03D8" w:rsidRDefault="002D03D8" w:rsidP="002D03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CF88AA" w14:textId="7BBAD8D1" w:rsidR="002D03D8" w:rsidRDefault="002D03D8" w:rsidP="002D03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p w14:paraId="4A1CBBE4" w14:textId="3C3F4DAF" w:rsidR="002D03D8" w:rsidRPr="002D03D8" w:rsidRDefault="00643B58" w:rsidP="002D03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             Володимир ПАВЛЕНКО</w:t>
      </w:r>
    </w:p>
    <w:sectPr w:rsidR="002D03D8" w:rsidRPr="002D0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DC"/>
    <w:rsid w:val="00051369"/>
    <w:rsid w:val="000832C3"/>
    <w:rsid w:val="002975CF"/>
    <w:rsid w:val="002B576A"/>
    <w:rsid w:val="002D03D8"/>
    <w:rsid w:val="002D5391"/>
    <w:rsid w:val="002F0DE4"/>
    <w:rsid w:val="003529B8"/>
    <w:rsid w:val="003F5661"/>
    <w:rsid w:val="00643B58"/>
    <w:rsid w:val="00832FD2"/>
    <w:rsid w:val="00932CA9"/>
    <w:rsid w:val="00AF5A5D"/>
    <w:rsid w:val="00B701DC"/>
    <w:rsid w:val="00BC696A"/>
    <w:rsid w:val="00D43AAD"/>
    <w:rsid w:val="00D7332F"/>
    <w:rsid w:val="00DB4823"/>
    <w:rsid w:val="00F0034C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49BC"/>
  <w15:chartTrackingRefBased/>
  <w15:docId w15:val="{3DE5D214-3D2D-4C14-8987-C8856CEA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76A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D5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39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14</cp:revision>
  <cp:lastPrinted>2021-04-16T07:03:00Z</cp:lastPrinted>
  <dcterms:created xsi:type="dcterms:W3CDTF">2021-03-29T12:38:00Z</dcterms:created>
  <dcterms:modified xsi:type="dcterms:W3CDTF">2021-09-24T08:27:00Z</dcterms:modified>
</cp:coreProperties>
</file>