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6A" w:rsidRDefault="002C066A" w:rsidP="002C066A">
      <w:pPr>
        <w:jc w:val="center"/>
        <w:rPr>
          <w:lang w:val="uk-UA"/>
        </w:rPr>
      </w:pPr>
      <w:r>
        <w:rPr>
          <w:lang w:val="uk-UA"/>
        </w:rPr>
        <w:object w:dxaOrig="7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31302344" r:id="rId6"/>
        </w:object>
      </w:r>
    </w:p>
    <w:p w:rsidR="002C066A" w:rsidRDefault="002C066A" w:rsidP="002C066A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r>
        <w:rPr>
          <w:b/>
          <w:sz w:val="32"/>
          <w:szCs w:val="32"/>
          <w:lang w:val="uk-UA"/>
        </w:rPr>
        <w:t>Ї Н А</w:t>
      </w:r>
    </w:p>
    <w:p w:rsidR="002C066A" w:rsidRDefault="002C066A" w:rsidP="002C066A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Березнянська</w:t>
      </w:r>
      <w:proofErr w:type="spellEnd"/>
      <w:r>
        <w:rPr>
          <w:b/>
          <w:sz w:val="32"/>
          <w:szCs w:val="32"/>
          <w:lang w:val="uk-UA"/>
        </w:rPr>
        <w:t xml:space="preserve"> селищна рада </w:t>
      </w:r>
    </w:p>
    <w:p w:rsidR="002C066A" w:rsidRDefault="002C066A" w:rsidP="002C066A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Чернігівського району Чернігівської області</w:t>
      </w:r>
    </w:p>
    <w:p w:rsidR="002C066A" w:rsidRDefault="002C066A" w:rsidP="002C066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uk-UA"/>
        </w:rPr>
        <w:t>двадцять третя сесія восьмого скликання)</w:t>
      </w:r>
    </w:p>
    <w:p w:rsidR="002C066A" w:rsidRDefault="002C066A" w:rsidP="002C066A">
      <w:pPr>
        <w:suppressAutoHyphens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val="uk-UA" w:eastAsia="zh-CN"/>
        </w:rPr>
        <w:t>ПРОЕКТ РІШЕННЯ</w:t>
      </w:r>
    </w:p>
    <w:p w:rsidR="002C066A" w:rsidRDefault="002C066A" w:rsidP="002C066A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 _ грудня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                       №  </w:t>
      </w: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селищний  бюджет </w:t>
      </w: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 селищної територіальної</w:t>
      </w:r>
    </w:p>
    <w:p w:rsidR="002C066A" w:rsidRDefault="00042C37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громади на 2023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n20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77 Бюджетного кодексу України, п.23 ст.26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селищна рада</w:t>
      </w:r>
    </w:p>
    <w:p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n21"/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n22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58 280 680,00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57 667 830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612 850,00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"n89"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1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n23"/>
      <w:bookmarkEnd w:id="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B49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8 280 680,00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57 667 830,00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612 850,00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4" w:name="n24"/>
      <w:bookmarkEnd w:id="4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профіцит та дефіцит по загальному та спеціальному фондах відсутній;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8"/>
      <w:bookmarkEnd w:id="5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E20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5830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BE20F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9"/>
      <w:bookmarkEnd w:id="6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передбачений у розмі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100 000,00 гривень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30"/>
      <w:bookmarkEnd w:id="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"n97"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val="uk-UA" w:eastAsia="ru-RU"/>
        </w:rPr>
        <w:t>ом</w:t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3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n31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"n105"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5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n32"/>
      <w:bookmarkEnd w:id="9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делегування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іністрації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"n1666"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сьомої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108 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3"/>
      <w:bookmarkEnd w:id="10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утримання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державною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іністрацією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"n3158"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п’ятої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  <w:lang w:eastAsia="ru-RU"/>
        </w:rPr>
        <w:t>-6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n34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реконструкцію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реставрацію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капітальний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ремонт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об’єктів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виробничої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комунікаційної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2" w:name="n166"/>
      <w:bookmarkStart w:id="13" w:name="n35"/>
      <w:bookmarkEnd w:id="12"/>
      <w:bookmarkEnd w:id="1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42C37" w:rsidRPr="00042C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9 393380,00</w:t>
      </w:r>
      <w:r w:rsidR="00042C37" w:rsidRPr="00042C3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hyperlink r:id="rId7" w:anchor="n113" w:history="1">
        <w:proofErr w:type="spellStart"/>
        <w:r>
          <w:rPr>
            <w:rStyle w:val="a3"/>
            <w:rFonts w:ascii="Times New Roman" w:eastAsia="Times New Roman" w:hAnsi="Times New Roman" w:cs="Times New Roman"/>
            <w:color w:val="006600"/>
            <w:sz w:val="28"/>
            <w:szCs w:val="28"/>
            <w:lang w:eastAsia="ru-RU"/>
          </w:rPr>
          <w:t>додатком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6600"/>
            <w:sz w:val="28"/>
            <w:szCs w:val="28"/>
            <w:lang w:eastAsia="ru-RU"/>
          </w:rPr>
          <w:t xml:space="preserve"> 7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4" w:name="n36"/>
      <w:bookmarkStart w:id="15" w:name="n37"/>
      <w:bookmarkEnd w:id="14"/>
      <w:bookmarkEnd w:id="1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</w:t>
      </w:r>
      <w:bookmarkStart w:id="16" w:name="_GoBack"/>
      <w:bookmarkEnd w:id="1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bookmarkStart w:id="17" w:name="n38"/>
      <w:bookmarkEnd w:id="17"/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належать доходи,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64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крім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"n2290"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статтею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69</w:t>
      </w:r>
      <w:r>
        <w:rPr>
          <w:sz w:val="28"/>
          <w:szCs w:val="28"/>
        </w:rPr>
        <w:fldChar w:fldCharType="end"/>
      </w:r>
      <w:hyperlink r:id="rId8" w:anchor="n2290" w:tgtFrame="_blank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0099"/>
            <w:sz w:val="28"/>
            <w:szCs w:val="28"/>
            <w:vertAlign w:val="superscript"/>
            <w:lang w:eastAsia="ru-RU"/>
          </w:rPr>
          <w:t>-1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"n1170"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частиною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першою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статті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71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а також такі надходження відповідно до Закону України «Про Державний бюджет України на 2023 рік».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8" w:name="n41"/>
      <w:bookmarkStart w:id="19" w:name="n45"/>
      <w:bookmarkEnd w:id="18"/>
      <w:bookmarkEnd w:id="1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Установити, що джерелами формування спеціального фонду місцевого бюджету на 2023 рік</w:t>
      </w:r>
      <w:bookmarkStart w:id="20" w:name="n46"/>
      <w:bookmarkEnd w:id="2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частині доходів є надходження, визначені статтями 69-1 та 71 Бюджетного кодексу України, а також такі надходження відповідно до Закону України «Про Державний бюджет України на 2023 рік».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1" w:name="n53"/>
      <w:bookmarkStart w:id="22" w:name="n63"/>
      <w:bookmarkEnd w:id="21"/>
      <w:bookmarkEnd w:id="2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"n896"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статті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55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на: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3" w:name="n64"/>
      <w:bookmarkEnd w:id="2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праці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нарахування на заробітну плату;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придбання медикаментів та перев’язувальних матеріалів;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- забезпечення продуктами харчування;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комунальних послуг;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соціальне забезпечення;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населенню;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місцевим бюджетам.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4" w:name="n65"/>
      <w:bookmarkStart w:id="25" w:name="n66"/>
      <w:bookmarkEnd w:id="24"/>
      <w:bookmarkEnd w:id="25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9.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паперів, відповідною місцевою радою, з подальшим поверненням таких коштів до кінця поточного бюджетного періоду, а також шляхом придбання державних цінних паперів відповідно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9" w:anchor="n311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статті 16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Бюджетного кодексу України.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6" w:name="n67"/>
      <w:bookmarkEnd w:id="2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тимчасових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розривів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фонду, в межах поточного бюджетного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єдиного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казначейського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договірних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нарахування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’язковим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кінця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поточного бюджетного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порядку,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hyperlink r:id="rId10" w:anchor="n796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статей 43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11" w:anchor="n1209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73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7" w:name="n68"/>
      <w:bookmarkEnd w:id="2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надходжень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державного сектору у порядку,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"n1272"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другої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78 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8" w:name="n69"/>
      <w:bookmarkEnd w:id="2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 </w:t>
      </w:r>
      <w:hyperlink r:id="rId12" w:tgtFrame="_blank" w:history="1">
        <w:proofErr w:type="gramStart"/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Бюджетного</w:t>
        </w:r>
        <w:proofErr w:type="gramEnd"/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 xml:space="preserve"> кодексу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України</w:t>
        </w:r>
        <w:proofErr w:type="spellEnd"/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9" w:name="n70"/>
      <w:bookmarkEnd w:id="2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0" w:name="n71"/>
      <w:bookmarkEnd w:id="3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у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цільове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нижчого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одержувачів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бюджетному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1" w:name="n72"/>
      <w:bookmarkEnd w:id="3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своєчасним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2" w:name="n73"/>
      <w:bookmarkEnd w:id="3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3" w:name="n74"/>
      <w:bookmarkEnd w:id="3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публічного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публікації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показниками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за формою,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до 15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року;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4" w:name="n75"/>
      <w:bookmarkEnd w:id="34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5" w:name="n76"/>
      <w:bookmarkEnd w:id="3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довгострокових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енергосервісом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6" w:name="n77"/>
      <w:bookmarkEnd w:id="36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водовідведення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споживаються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обґрунтованих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лімітів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7" w:name="n78"/>
      <w:bookmarkEnd w:id="3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bookmarkStart w:id="38" w:name="n79"/>
      <w:bookmarkEnd w:id="3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міжсесійний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ідставі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голови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погодженням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комісією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територій, бюджету та здійснення регуляторної політики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асигнувань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шляхом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останніми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межах одного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призводять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фондах.</w:t>
      </w:r>
    </w:p>
    <w:p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Надати право фінансовому відділу Березнянської селищної ради здійснювати спрямування додатково визначених цільових трансфертів на підставі повідомлень установ  вищого рівня.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функціональною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класифікаціями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фондах.</w:t>
      </w:r>
    </w:p>
    <w:p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право фінансовому відділу Березнянської селищної ради погоджувати довідки про зміни до кошторисів у частині власних надходжень спеціального фонду розпорядникам нижчого рівня, підпорядкованим головним розпорядникам бюджетних коштів, які фінансуються з селищного бюджету.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15. Установити, що розпорядники бюджетних коштів селищного бюджету беруть бюджетні зобов’язання та здійснюють відповідні видатки за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загальним фондом бюджету тільки в межах бюджетних асигнувань, встановлених кошторисами. Розпорядники бюджетних коштів беруть зобов’язання за спеціальним фондом бюджету виключно в межах відповідних фактичних надходжень до спеціального фонду бюджету та бюджетних призначень, встановлених за рахунок залишків коштів спеціального фонду. Зобов’язання, взяті розпорядниками без відповідних бюджетних асигнувань, не вважаються бюджетними зобов’язаннями і не підлягають оплаті за рахунок бюджетних коштів.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9" w:name="n81"/>
      <w:bookmarkEnd w:id="3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</w:t>
      </w:r>
      <w:r w:rsidR="00B51A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набирає чинності з 01 січня 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0" w:name="n82"/>
      <w:bookmarkEnd w:id="4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1" w:name="n83"/>
      <w:bookmarkEnd w:id="4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Забезпечити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"n561"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четвертої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28 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42" w:name="n84"/>
      <w:bookmarkEnd w:id="4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546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4318"/>
        <w:gridCol w:w="3210"/>
        <w:gridCol w:w="2720"/>
      </w:tblGrid>
      <w:tr w:rsidR="002C066A" w:rsidTr="002C066A">
        <w:trPr>
          <w:trHeight w:val="60"/>
        </w:trPr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66A" w:rsidRDefault="002C066A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43" w:name="n86"/>
            <w:bookmarkEnd w:id="4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Селищний голова</w:t>
            </w:r>
          </w:p>
          <w:p w:rsidR="002C066A" w:rsidRDefault="002C066A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66A" w:rsidRDefault="002C066A">
            <w:pPr>
              <w:spacing w:before="150" w:after="150" w:line="60" w:lineRule="atLeast"/>
              <w:ind w:left="4188" w:right="-2723" w:hanging="4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Володимир ПАВЛЕНКО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066A" w:rsidRDefault="002C066A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066A" w:rsidRDefault="002C066A" w:rsidP="002C066A"/>
    <w:p w:rsidR="003F3C3C" w:rsidRPr="002C066A" w:rsidRDefault="003F3C3C">
      <w:pPr>
        <w:rPr>
          <w:b/>
        </w:rPr>
      </w:pPr>
    </w:p>
    <w:sectPr w:rsidR="003F3C3C" w:rsidRPr="002C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DA"/>
    <w:rsid w:val="00042C37"/>
    <w:rsid w:val="002C066A"/>
    <w:rsid w:val="003F3C3C"/>
    <w:rsid w:val="007B4924"/>
    <w:rsid w:val="00B51A8A"/>
    <w:rsid w:val="00BE20F0"/>
    <w:rsid w:val="00F0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12" Type="http://schemas.openxmlformats.org/officeDocument/2006/relationships/hyperlink" Target="https://zakon.rada.gov.ua/laws/show/2456-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zakon.rada.gov.ua/laws/show/2456-17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56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6543</Words>
  <Characters>3731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11rvk03</cp:lastModifiedBy>
  <cp:revision>4</cp:revision>
  <dcterms:created xsi:type="dcterms:W3CDTF">2022-11-26T07:45:00Z</dcterms:created>
  <dcterms:modified xsi:type="dcterms:W3CDTF">2022-11-30T06:32:00Z</dcterms:modified>
</cp:coreProperties>
</file>