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D195F" w14:textId="77777777" w:rsidR="00EB4271" w:rsidRPr="008349B5" w:rsidRDefault="00EB4271" w:rsidP="00EB4271">
      <w:pPr>
        <w:spacing w:after="0"/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bookmarkStart w:id="0" w:name="_GoBack"/>
      <w:bookmarkEnd w:id="0"/>
      <w:r w:rsidRPr="008349B5">
        <w:rPr>
          <w:rFonts w:ascii="Times New Roman" w:eastAsiaTheme="minorEastAsia" w:hAnsi="Times New Roman"/>
          <w:noProof/>
          <w:sz w:val="32"/>
          <w:szCs w:val="20"/>
          <w:lang w:eastAsia="ru-RU"/>
        </w:rPr>
        <w:drawing>
          <wp:inline distT="0" distB="0" distL="0" distR="0" wp14:anchorId="5447F281" wp14:editId="672F109C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302F7" w14:textId="77777777" w:rsidR="00EB4271" w:rsidRPr="008349B5" w:rsidRDefault="00EB4271" w:rsidP="00EB4271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19059314" w14:textId="77777777" w:rsidR="00EB4271" w:rsidRPr="008349B5" w:rsidRDefault="00EB4271" w:rsidP="00EB4271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05E81579" w14:textId="77777777" w:rsidR="00EB4271" w:rsidRPr="008349B5" w:rsidRDefault="00EB4271" w:rsidP="00EB4271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Чернігівського району Чернігівської області</w:t>
      </w:r>
    </w:p>
    <w:p w14:paraId="338C8711" w14:textId="77777777" w:rsidR="00EB4271" w:rsidRPr="008349B5" w:rsidRDefault="00EB4271" w:rsidP="00EB4271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14:paraId="31267549" w14:textId="0D9E271D" w:rsidR="00EB4271" w:rsidRDefault="00EB4271" w:rsidP="00EB4271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двадцять </w:t>
      </w:r>
      <w:r w:rsidR="00154EB3">
        <w:rPr>
          <w:rFonts w:ascii="Times New Roman" w:eastAsiaTheme="minorEastAsia" w:hAnsi="Times New Roman"/>
          <w:b/>
          <w:sz w:val="32"/>
          <w:szCs w:val="32"/>
          <w:lang w:eastAsia="ru-RU"/>
        </w:rPr>
        <w:t>третя</w:t>
      </w: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</w:t>
      </w: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сесія восьмого скликання/</w:t>
      </w:r>
    </w:p>
    <w:p w14:paraId="074F434E" w14:textId="5576697C" w:rsidR="00860615" w:rsidRPr="008349B5" w:rsidRDefault="00860615" w:rsidP="00EB4271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Перше пленарне засідання</w:t>
      </w:r>
    </w:p>
    <w:p w14:paraId="2B6E50C1" w14:textId="77777777" w:rsidR="00EB4271" w:rsidRPr="008349B5" w:rsidRDefault="00EB4271" w:rsidP="00EB4271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Н</w:t>
      </w:r>
      <w:proofErr w:type="spellEnd"/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Я</w:t>
      </w:r>
    </w:p>
    <w:p w14:paraId="421CD0C8" w14:textId="77777777" w:rsidR="00EB4271" w:rsidRPr="008349B5" w:rsidRDefault="00EB4271" w:rsidP="00EB4271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14:paraId="66826C3C" w14:textId="7F528052" w:rsidR="00EB4271" w:rsidRPr="00BB7949" w:rsidRDefault="00EB4271" w:rsidP="00EB4271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від </w:t>
      </w:r>
      <w:r w:rsidR="00860615">
        <w:rPr>
          <w:rFonts w:ascii="Times New Roman" w:eastAsiaTheme="minorEastAsia" w:hAnsi="Times New Roman"/>
          <w:sz w:val="28"/>
          <w:szCs w:val="28"/>
          <w:lang w:eastAsia="ru-RU"/>
        </w:rPr>
        <w:t>15</w:t>
      </w:r>
      <w:r w:rsidR="00876242">
        <w:rPr>
          <w:rFonts w:ascii="Times New Roman" w:eastAsiaTheme="minorEastAsia" w:hAnsi="Times New Roman"/>
          <w:sz w:val="28"/>
          <w:szCs w:val="28"/>
          <w:lang w:eastAsia="ru-RU"/>
        </w:rPr>
        <w:t xml:space="preserve"> грудня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2022 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 року                           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№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860615">
        <w:rPr>
          <w:rFonts w:ascii="Times New Roman" w:eastAsiaTheme="minorEastAsia" w:hAnsi="Times New Roman"/>
          <w:sz w:val="28"/>
          <w:szCs w:val="28"/>
          <w:lang w:eastAsia="ru-RU"/>
        </w:rPr>
        <w:t>759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/</w:t>
      </w:r>
      <w:r w:rsidR="00876242">
        <w:rPr>
          <w:rFonts w:ascii="Times New Roman" w:eastAsiaTheme="minorEastAsia" w:hAnsi="Times New Roman"/>
          <w:sz w:val="28"/>
          <w:szCs w:val="28"/>
          <w:lang w:eastAsia="ru-RU"/>
        </w:rPr>
        <w:t>23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8349B5">
        <w:rPr>
          <w:rFonts w:ascii="Times New Roman" w:eastAsiaTheme="minorEastAsia" w:hAnsi="Times New Roman"/>
          <w:sz w:val="28"/>
          <w:szCs w:val="28"/>
          <w:lang w:val="en-US" w:eastAsia="ru-RU"/>
        </w:rPr>
        <w:t>VIII</w:t>
      </w:r>
    </w:p>
    <w:p w14:paraId="347F22FF" w14:textId="77777777" w:rsidR="00EB4271" w:rsidRPr="00EB4271" w:rsidRDefault="00EB4271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14:paraId="0C6E6B61" w14:textId="6648059E" w:rsidR="00EB4271" w:rsidRPr="00F27F02" w:rsidRDefault="00EB4271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1"/>
          <w:szCs w:val="21"/>
          <w:lang w:eastAsia="uk-UA"/>
        </w:rPr>
      </w:pP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Про </w:t>
      </w:r>
      <w:proofErr w:type="spellStart"/>
      <w:r w:rsid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П</w:t>
      </w: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рограму</w:t>
      </w:r>
      <w:proofErr w:type="spellEnd"/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 </w:t>
      </w: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  </w:t>
      </w:r>
      <w:proofErr w:type="gramStart"/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утримання  та</w:t>
      </w:r>
      <w:proofErr w:type="gramEnd"/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 xml:space="preserve">  ремонту</w:t>
      </w:r>
    </w:p>
    <w:p w14:paraId="1B752F5A" w14:textId="3FCDA909" w:rsidR="00EB4271" w:rsidRPr="00F27F02" w:rsidRDefault="00EB4271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1"/>
          <w:szCs w:val="21"/>
          <w:lang w:eastAsia="uk-UA"/>
        </w:rPr>
      </w:pP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автомобільних доріг   місцевого  значення  та  вулиць</w:t>
      </w:r>
    </w:p>
    <w:p w14:paraId="79A6626A" w14:textId="5BA104DB" w:rsidR="00EB4271" w:rsidRPr="00F27F02" w:rsidRDefault="00EB4271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1"/>
          <w:szCs w:val="21"/>
          <w:lang w:eastAsia="uk-UA"/>
        </w:rPr>
      </w:pP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і  доріг  комунальної  власності  на </w:t>
      </w: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 202</w:t>
      </w:r>
      <w:r w:rsidR="00F51C56"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3</w:t>
      </w: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-202</w:t>
      </w:r>
      <w:r w:rsidR="00F51C56"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5</w:t>
      </w: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 р</w:t>
      </w:r>
      <w:proofErr w:type="spellStart"/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оки</w:t>
      </w:r>
      <w:proofErr w:type="spellEnd"/>
    </w:p>
    <w:p w14:paraId="7F1A81BA" w14:textId="77777777" w:rsidR="00EB4271" w:rsidRPr="00EB4271" w:rsidRDefault="00EB4271" w:rsidP="00EB4271">
      <w:pPr>
        <w:shd w:val="clear" w:color="auto" w:fill="FFFFFF"/>
        <w:spacing w:after="225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14:paraId="36EFBB46" w14:textId="61604893" w:rsidR="00EB4271" w:rsidRPr="00EB4271" w:rsidRDefault="00EB4271" w:rsidP="00EB42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    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   Заслухавши та обговоривши  проект програми «Утримання  та ремонт  автомобільних доріг  загального користування , у тому числі  місцевого значення,  та вулиць і доріг  комунальної власності  на 202</w:t>
      </w:r>
      <w:r w:rsidR="008762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3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-202</w:t>
      </w:r>
      <w:r w:rsidR="008762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5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роки»,  керуючись  Законом України 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«Про місцеве самоврядування в Україні» </w:t>
      </w:r>
      <w:r w:rsidR="008762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Березнянська 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селищна</w:t>
      </w:r>
      <w:proofErr w:type="spellEnd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рада</w:t>
      </w:r>
    </w:p>
    <w:p w14:paraId="25F04C44" w14:textId="77777777" w:rsidR="00EB4271" w:rsidRPr="00EB4271" w:rsidRDefault="00EB4271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                                                      ВИРІШИЛА:</w:t>
      </w:r>
    </w:p>
    <w:p w14:paraId="0EAA8C65" w14:textId="79EBA030" w:rsidR="00EB4271" w:rsidRPr="00EB4271" w:rsidRDefault="00EB4271" w:rsidP="00EB4271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gramStart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Затвердити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Програму</w:t>
      </w:r>
      <w:proofErr w:type="spellEnd"/>
      <w:proofErr w:type="gramEnd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 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«Утримання  та ремонту  автомобільних доріг  місцевого значення  та вулиць і доріг  комунальної власності  на 202</w:t>
      </w:r>
      <w:r w:rsidR="008762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3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-202</w:t>
      </w:r>
      <w:r w:rsidR="008762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роки»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  </w:t>
      </w:r>
      <w:proofErr w:type="spellStart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</w:t>
      </w:r>
      <w:proofErr w:type="spellEnd"/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додається.</w:t>
      </w:r>
    </w:p>
    <w:p w14:paraId="3FD8C14E" w14:textId="77777777" w:rsidR="00EB4271" w:rsidRPr="00EB4271" w:rsidRDefault="00EB4271" w:rsidP="00EB4271">
      <w:pPr>
        <w:shd w:val="clear" w:color="auto" w:fill="FFFFFF"/>
        <w:spacing w:before="105" w:after="105" w:line="240" w:lineRule="auto"/>
        <w:ind w:left="284" w:right="225" w:hanging="284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797C932A" w14:textId="413BE7CF" w:rsidR="00EB4271" w:rsidRPr="00EB4271" w:rsidRDefault="00C64CC9" w:rsidP="00EB427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450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Фінансовому відділу</w:t>
      </w:r>
      <w:r w:rsidR="00EB4271"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ради передбачати в межах наявного фінансового ресурсу фінансування заходів, передбачених цією Програмою.</w:t>
      </w:r>
    </w:p>
    <w:p w14:paraId="3B26BD8D" w14:textId="77777777" w:rsidR="00EB4271" w:rsidRPr="00EB4271" w:rsidRDefault="00EB4271" w:rsidP="00EB42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14:paraId="01B4C007" w14:textId="77777777" w:rsidR="00F51C56" w:rsidRPr="00F51C56" w:rsidRDefault="00F51C56" w:rsidP="00F51C5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F51C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</w:t>
      </w:r>
      <w:r w:rsidRPr="00F51C5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F51C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 питань соціально-економічного розвитку територій, бюджету та здійснення регуляторної політики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E378112" w14:textId="77777777" w:rsidR="00F51C56" w:rsidRPr="00F51C56" w:rsidRDefault="00F51C56" w:rsidP="00F51C56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14:paraId="0DB9E137" w14:textId="21DBA0CE" w:rsidR="00EB4271" w:rsidRPr="00F51C56" w:rsidRDefault="00EB4271" w:rsidP="00F51C56">
      <w:pPr>
        <w:pStyle w:val="a3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F51C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       </w:t>
      </w:r>
    </w:p>
    <w:p w14:paraId="2F01AFCE" w14:textId="49F73E8C" w:rsidR="00EB4271" w:rsidRDefault="00EB4271" w:rsidP="00EB42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Селищний голова                                            </w:t>
      </w:r>
      <w:r w:rsidR="00F5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            </w:t>
      </w:r>
      <w:r w:rsidRPr="00EB4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</w:t>
      </w:r>
      <w:r w:rsidR="005C7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Володимир ПАВЛЕНКО</w:t>
      </w:r>
    </w:p>
    <w:p w14:paraId="6EC24DD8" w14:textId="77777777" w:rsidR="005C7D88" w:rsidRDefault="005C7D88" w:rsidP="00EB42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2F3159C5" w14:textId="77777777" w:rsidR="005C7D88" w:rsidRDefault="005C7D88" w:rsidP="00EB42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134DAF9D" w14:textId="77777777" w:rsidR="005C7D88" w:rsidRDefault="005C7D88" w:rsidP="00EB42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2656D3BB" w14:textId="77777777" w:rsidR="005C7D88" w:rsidRDefault="005C7D88" w:rsidP="00EB42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6C058186" w14:textId="77777777" w:rsidR="005C7D88" w:rsidRDefault="005C7D88" w:rsidP="00EB42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2A46F4A8" w14:textId="77777777" w:rsidR="005C7D88" w:rsidRDefault="005C7D88" w:rsidP="00EB42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7F2497FC" w14:textId="77777777" w:rsidR="005C7D88" w:rsidRDefault="005C7D88" w:rsidP="00EB42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39E79F46" w14:textId="77777777" w:rsidR="005C7D88" w:rsidRDefault="005C7D88" w:rsidP="00EB42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05D61CAC" w14:textId="77777777" w:rsidR="005C7D88" w:rsidRDefault="005C7D88" w:rsidP="00EB42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0216969B" w14:textId="3DCD09FB" w:rsidR="005C7D88" w:rsidRDefault="005C7D88" w:rsidP="00EB42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7E04C10A" w14:textId="77777777" w:rsidR="00B41533" w:rsidRDefault="00B41533" w:rsidP="00EB42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379C5A8D" w14:textId="6D723C84" w:rsidR="005C7D88" w:rsidRPr="00EB4271" w:rsidRDefault="00860615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 xml:space="preserve">           </w:t>
      </w:r>
    </w:p>
    <w:p w14:paraId="044AAD71" w14:textId="2976E33D" w:rsidR="00EB4271" w:rsidRPr="00EB4271" w:rsidRDefault="00EB4271" w:rsidP="005C7D88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lang w:eastAsia="uk-UA"/>
        </w:rPr>
        <w:t>        </w:t>
      </w:r>
      <w:r w:rsidR="00860615">
        <w:rPr>
          <w:rFonts w:ascii="Calibri" w:eastAsia="Times New Roman" w:hAnsi="Calibri" w:cs="Calibri"/>
          <w:color w:val="333333"/>
          <w:bdr w:val="none" w:sz="0" w:space="0" w:color="auto" w:frame="1"/>
          <w:lang w:eastAsia="uk-UA"/>
        </w:rPr>
        <w:t xml:space="preserve">                                                </w:t>
      </w:r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lang w:eastAsia="uk-UA"/>
        </w:rPr>
        <w:t>     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Затверджено</w:t>
      </w:r>
    </w:p>
    <w:p w14:paraId="685DDE17" w14:textId="062690E7" w:rsidR="00860615" w:rsidRDefault="00860615" w:rsidP="005C7D88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                                     </w:t>
      </w:r>
      <w:r w:rsidR="00EB4271"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рішенням </w:t>
      </w:r>
      <w:r w:rsidR="005C7D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третьої сесії</w:t>
      </w:r>
      <w:r w:rsidR="005C7D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</w:p>
    <w:p w14:paraId="3FEC86D7" w14:textId="69DBBCC2" w:rsidR="00EB4271" w:rsidRPr="00EB4271" w:rsidRDefault="00860615" w:rsidP="005C7D88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                                     </w:t>
      </w:r>
      <w:r w:rsidR="005C7D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Березнянської </w:t>
      </w:r>
      <w:r w:rsidR="00EB4271"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селищної ради</w:t>
      </w:r>
    </w:p>
    <w:p w14:paraId="45DE9A14" w14:textId="381B33B1" w:rsidR="00860615" w:rsidRDefault="00860615" w:rsidP="00860615">
      <w:pPr>
        <w:spacing w:after="0"/>
        <w:ind w:left="3687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                                     </w:t>
      </w:r>
      <w:r w:rsidR="00EB4271"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від 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15</w:t>
      </w:r>
      <w:r w:rsidR="00EB4271"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грудня</w:t>
      </w:r>
      <w:r w:rsidR="005C7D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="00EB4271"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202</w:t>
      </w:r>
      <w:r w:rsidR="005C7D8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2</w:t>
      </w:r>
      <w:r w:rsidR="00EB4271"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р.</w:t>
      </w:r>
    </w:p>
    <w:p w14:paraId="25BAA22E" w14:textId="337BDF0F" w:rsidR="00860615" w:rsidRPr="00BB7949" w:rsidRDefault="00860615" w:rsidP="00860615">
      <w:pPr>
        <w:spacing w:after="0"/>
        <w:ind w:left="3687"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                                    </w:t>
      </w:r>
      <w:r w:rsidR="00EB4271"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860615">
        <w:rPr>
          <w:rFonts w:ascii="Times New Roman" w:eastAsiaTheme="minorEastAsia" w:hAnsi="Times New Roman"/>
          <w:lang w:eastAsia="ru-RU"/>
        </w:rPr>
        <w:t>759/23-</w:t>
      </w:r>
      <w:r w:rsidRPr="00860615">
        <w:rPr>
          <w:rFonts w:ascii="Times New Roman" w:eastAsiaTheme="minorEastAsia" w:hAnsi="Times New Roman"/>
          <w:lang w:val="en-US" w:eastAsia="ru-RU"/>
        </w:rPr>
        <w:t>VIII</w:t>
      </w:r>
    </w:p>
    <w:p w14:paraId="6FFDC82F" w14:textId="03EC7543" w:rsidR="00EB4271" w:rsidRPr="00EB4271" w:rsidRDefault="00EB4271" w:rsidP="005C7D88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75F5AA5B" w14:textId="77777777" w:rsidR="00EB4271" w:rsidRPr="00EB4271" w:rsidRDefault="00EB4271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Calibri" w:eastAsia="Times New Roman" w:hAnsi="Calibri" w:cs="Calibri"/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  <w:t>              </w:t>
      </w:r>
    </w:p>
    <w:p w14:paraId="6C956BDA" w14:textId="77777777" w:rsidR="00EB4271" w:rsidRPr="00EB4271" w:rsidRDefault="00EB4271" w:rsidP="00EB42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shd w:val="clear" w:color="auto" w:fill="FFFFFF"/>
          <w:lang w:eastAsia="uk-UA"/>
        </w:rPr>
        <w:t>ПРОГРАМА</w:t>
      </w:r>
    </w:p>
    <w:p w14:paraId="3B5781B5" w14:textId="77777777" w:rsidR="00EB4271" w:rsidRPr="00EB4271" w:rsidRDefault="00EB4271" w:rsidP="00EB42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  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ремонт 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загального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 </w:t>
      </w:r>
    </w:p>
    <w:p w14:paraId="2717CBCE" w14:textId="77777777" w:rsidR="00EB4271" w:rsidRPr="00EB4271" w:rsidRDefault="00EB4271" w:rsidP="00EB42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у тому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числі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місцевого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</w:p>
    <w:p w14:paraId="56F26983" w14:textId="77777777" w:rsidR="00EB4271" w:rsidRPr="00EB4271" w:rsidRDefault="005C7D88" w:rsidP="00EB42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Березнянської </w:t>
      </w:r>
      <w:r w:rsidR="00EB4271"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ради</w:t>
      </w:r>
    </w:p>
    <w:p w14:paraId="2CC6B1F7" w14:textId="77777777" w:rsidR="00EB4271" w:rsidRPr="00EB4271" w:rsidRDefault="00EB4271" w:rsidP="00EB42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 20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2</w:t>
      </w:r>
      <w:r w:rsidR="005C7D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2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-202</w:t>
      </w:r>
      <w:r w:rsidR="005C7D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4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роки</w:t>
      </w:r>
    </w:p>
    <w:p w14:paraId="5DA60F5E" w14:textId="77777777" w:rsidR="00EB4271" w:rsidRPr="00EB4271" w:rsidRDefault="00EB4271" w:rsidP="00EB4271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14:paraId="46A883A8" w14:textId="77777777" w:rsidR="00EB4271" w:rsidRPr="00EB4271" w:rsidRDefault="00EB4271" w:rsidP="00EB4271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14:paraId="49CF9D32" w14:textId="77777777" w:rsidR="00EB4271" w:rsidRPr="00EB4271" w:rsidRDefault="00EB4271" w:rsidP="00EB42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shd w:val="clear" w:color="auto" w:fill="FFFFFF"/>
          <w:lang w:eastAsia="uk-UA"/>
        </w:rPr>
        <w:t>ПАСПОРТ  ПРОГРАМИ</w:t>
      </w:r>
    </w:p>
    <w:p w14:paraId="3CCE66D9" w14:textId="77777777" w:rsidR="00EB4271" w:rsidRPr="00EB4271" w:rsidRDefault="00EB4271" w:rsidP="00EB42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Calibri" w:eastAsia="Times New Roman" w:hAnsi="Calibri" w:cs="Calibri"/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  <w:t> </w:t>
      </w:r>
    </w:p>
    <w:p w14:paraId="554C6AF2" w14:textId="77777777" w:rsidR="00EB4271" w:rsidRPr="00EB4271" w:rsidRDefault="00EB4271" w:rsidP="00EB4271">
      <w:pPr>
        <w:shd w:val="clear" w:color="auto" w:fill="FFFFFF"/>
        <w:spacing w:before="225" w:after="225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tbl>
      <w:tblPr>
        <w:tblW w:w="12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81"/>
        <w:gridCol w:w="2121"/>
        <w:gridCol w:w="718"/>
        <w:gridCol w:w="8691"/>
        <w:gridCol w:w="695"/>
      </w:tblGrid>
      <w:tr w:rsidR="00EB4271" w:rsidRPr="00EB4271" w14:paraId="7684A15F" w14:textId="77777777" w:rsidTr="00B41533">
        <w:tc>
          <w:tcPr>
            <w:tcW w:w="70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FB721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Calibri" w:eastAsia="Times New Roman" w:hAnsi="Calibri" w:cs="Calibri"/>
                <w:bdr w:val="none" w:sz="0" w:space="0" w:color="auto" w:frame="1"/>
                <w:lang w:eastAsia="uk-UA"/>
              </w:rPr>
              <w:t> </w:t>
            </w: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1.</w:t>
            </w:r>
          </w:p>
        </w:tc>
        <w:tc>
          <w:tcPr>
            <w:tcW w:w="2839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15870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Ініціатор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розроблення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386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A8673" w14:textId="77777777" w:rsidR="00EB4271" w:rsidRPr="00EB4271" w:rsidRDefault="005C7D88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Березнянська селищна рада</w:t>
            </w:r>
          </w:p>
        </w:tc>
      </w:tr>
      <w:tr w:rsidR="00EB4271" w:rsidRPr="00EB4271" w14:paraId="795286F2" w14:textId="77777777" w:rsidTr="00B41533">
        <w:tc>
          <w:tcPr>
            <w:tcW w:w="70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FB12C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2.</w:t>
            </w:r>
          </w:p>
        </w:tc>
        <w:tc>
          <w:tcPr>
            <w:tcW w:w="2839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CC1F9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Розробник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386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A30E5" w14:textId="3D1E0A08" w:rsidR="00EB4271" w:rsidRPr="00EB4271" w:rsidRDefault="00B41533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Березнянська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селищна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рада</w:t>
            </w:r>
          </w:p>
        </w:tc>
      </w:tr>
      <w:tr w:rsidR="00EB4271" w:rsidRPr="00EB4271" w14:paraId="7A535510" w14:textId="77777777" w:rsidTr="00B41533">
        <w:tc>
          <w:tcPr>
            <w:tcW w:w="70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FF63C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3.</w:t>
            </w:r>
          </w:p>
        </w:tc>
        <w:tc>
          <w:tcPr>
            <w:tcW w:w="2839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6539B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Співрозробники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386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24C3B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-</w:t>
            </w:r>
          </w:p>
        </w:tc>
      </w:tr>
      <w:tr w:rsidR="00EB4271" w:rsidRPr="00EB4271" w14:paraId="0117C752" w14:textId="77777777" w:rsidTr="00B41533">
        <w:tc>
          <w:tcPr>
            <w:tcW w:w="70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33AB9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4.</w:t>
            </w:r>
          </w:p>
        </w:tc>
        <w:tc>
          <w:tcPr>
            <w:tcW w:w="2839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0CB69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Відповідальний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виконавець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386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84CD2" w14:textId="1AD9373D" w:rsidR="00EB4271" w:rsidRPr="00EB4271" w:rsidRDefault="00472C05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Березнянська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селищна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рада</w:t>
            </w:r>
          </w:p>
        </w:tc>
      </w:tr>
      <w:tr w:rsidR="00EB4271" w:rsidRPr="00EB4271" w14:paraId="34D5F1FA" w14:textId="77777777" w:rsidTr="00B41533">
        <w:tc>
          <w:tcPr>
            <w:tcW w:w="70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63CA8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5.</w:t>
            </w:r>
          </w:p>
        </w:tc>
        <w:tc>
          <w:tcPr>
            <w:tcW w:w="2839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19E6D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Назва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386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76CB7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Утримання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та ремонт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автомобільних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доріг</w:t>
            </w:r>
            <w:proofErr w:type="spellEnd"/>
          </w:p>
          <w:p w14:paraId="4F1EC23C" w14:textId="7EA0A77E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місцевого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значення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,</w:t>
            </w:r>
            <w:r w:rsidR="00472C0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та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вулиць</w:t>
            </w:r>
            <w:proofErr w:type="spellEnd"/>
            <w:r w:rsidRPr="00EB4271">
              <w:rPr>
                <w:rFonts w:ascii="Calibri" w:eastAsia="Times New Roman" w:hAnsi="Calibri" w:cs="Calibri"/>
                <w:bdr w:val="none" w:sz="0" w:space="0" w:color="auto" w:frame="1"/>
                <w:lang w:eastAsia="uk-UA"/>
              </w:rPr>
              <w:t> </w:t>
            </w: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і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доріг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комунальної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власності</w:t>
            </w:r>
            <w:proofErr w:type="spellEnd"/>
          </w:p>
          <w:p w14:paraId="6A0E6095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="005C7D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Березнянської </w:t>
            </w: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селищної </w:t>
            </w: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 ради</w:t>
            </w:r>
          </w:p>
          <w:p w14:paraId="449C2220" w14:textId="12042B8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на 20</w:t>
            </w: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  <w:r w:rsidR="00472C0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-202</w:t>
            </w:r>
            <w:r w:rsidR="00472C0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роки</w:t>
            </w:r>
          </w:p>
        </w:tc>
      </w:tr>
      <w:tr w:rsidR="00EB4271" w:rsidRPr="00EB4271" w14:paraId="5974728A" w14:textId="77777777" w:rsidTr="00B41533">
        <w:tc>
          <w:tcPr>
            <w:tcW w:w="70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0E12F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6.</w:t>
            </w:r>
          </w:p>
        </w:tc>
        <w:tc>
          <w:tcPr>
            <w:tcW w:w="2839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B87FD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Законодавча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база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розроблення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386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CCC6D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Закони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України «Про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автомобільні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дороги», «Про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дорожній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рух»,</w:t>
            </w:r>
          </w:p>
          <w:p w14:paraId="061B516F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 «Про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автомобільний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транспорт»,</w:t>
            </w:r>
          </w:p>
          <w:p w14:paraId="610FCF03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«Про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джерела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фінансування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дорожнього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господарства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України»,</w:t>
            </w:r>
          </w:p>
          <w:p w14:paraId="36858F11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постанова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Кабінету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Міністрів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України від 30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березня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1994 р.</w:t>
            </w:r>
          </w:p>
          <w:p w14:paraId="3CCE4502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№ 198 «Про затвердження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Єдиних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правил ремонту і</w:t>
            </w:r>
          </w:p>
          <w:p w14:paraId="503A42A8" w14:textId="77777777" w:rsidR="005C7D88" w:rsidRDefault="00EB4271" w:rsidP="005C7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 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утримання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автомобільних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доріг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,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вулиць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,</w:t>
            </w:r>
          </w:p>
          <w:p w14:paraId="661BF435" w14:textId="77777777" w:rsidR="00EB4271" w:rsidRPr="00EB4271" w:rsidRDefault="00EB4271" w:rsidP="005C7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 правил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користування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ними та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охорони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»</w:t>
            </w:r>
          </w:p>
        </w:tc>
      </w:tr>
      <w:tr w:rsidR="00EB4271" w:rsidRPr="00EB4271" w14:paraId="7F96C4D5" w14:textId="77777777" w:rsidTr="00B41533">
        <w:tc>
          <w:tcPr>
            <w:tcW w:w="70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AF771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7.</w:t>
            </w:r>
          </w:p>
        </w:tc>
        <w:tc>
          <w:tcPr>
            <w:tcW w:w="2839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385B0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Підстава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для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розроблення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386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C9065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62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Необхідність поліпшення транспортно-експлуатаційного стану</w:t>
            </w:r>
          </w:p>
          <w:p w14:paraId="228C1634" w14:textId="77777777" w:rsidR="00472C05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 мережі доріг  місцевого значення та вулиць і доріг комунальної </w:t>
            </w:r>
          </w:p>
          <w:p w14:paraId="77A7E8B1" w14:textId="733C9CBC" w:rsidR="00EB4271" w:rsidRPr="00EB4271" w:rsidRDefault="00EB4271" w:rsidP="00472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власності </w:t>
            </w:r>
            <w:r w:rsidR="005C7D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Березнянської </w:t>
            </w: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селищної ради</w:t>
            </w:r>
          </w:p>
        </w:tc>
      </w:tr>
      <w:tr w:rsidR="00EB4271" w:rsidRPr="00EB4271" w14:paraId="4D9B65E8" w14:textId="77777777" w:rsidTr="00B41533">
        <w:tc>
          <w:tcPr>
            <w:tcW w:w="70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A2D5E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8.</w:t>
            </w:r>
          </w:p>
        </w:tc>
        <w:tc>
          <w:tcPr>
            <w:tcW w:w="2839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B5114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Мета і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основні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завдання</w:t>
            </w:r>
            <w:proofErr w:type="spellEnd"/>
          </w:p>
          <w:p w14:paraId="18E2559E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386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B50B6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Збереження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та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поліпшення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транспортно-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експлуатаційного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стану</w:t>
            </w:r>
          </w:p>
          <w:p w14:paraId="7D260619" w14:textId="77777777" w:rsidR="00472C05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</w:pP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наявної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мережі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proofErr w:type="gram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доріг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 місцевого</w:t>
            </w:r>
            <w:proofErr w:type="gram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значення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та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вулиць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і</w:t>
            </w:r>
          </w:p>
          <w:p w14:paraId="0C8C369C" w14:textId="77777777" w:rsidR="00472C05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="00472C0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д</w:t>
            </w: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оріг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комунальної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власності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 у населених </w:t>
            </w:r>
            <w:proofErr w:type="gram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пунктах </w:t>
            </w: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="005C7D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Березнянської</w:t>
            </w:r>
            <w:proofErr w:type="gramEnd"/>
          </w:p>
          <w:p w14:paraId="00906F0F" w14:textId="074DFC64" w:rsidR="00472C05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селищної ради</w:t>
            </w: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 з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доведенням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термінів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експлуатації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дорожнього</w:t>
            </w:r>
            <w:proofErr w:type="spellEnd"/>
          </w:p>
          <w:p w14:paraId="56F69ABF" w14:textId="55D84219" w:rsidR="00EB4271" w:rsidRPr="00EB4271" w:rsidRDefault="00EB4271" w:rsidP="00472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покриття</w:t>
            </w:r>
            <w:proofErr w:type="spellEnd"/>
            <w:r w:rsidR="00E458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до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міжремонтних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термінів</w:t>
            </w:r>
            <w:proofErr w:type="spellEnd"/>
          </w:p>
        </w:tc>
      </w:tr>
      <w:tr w:rsidR="00EB4271" w:rsidRPr="00EB4271" w14:paraId="78CED623" w14:textId="77777777" w:rsidTr="00B41533">
        <w:tc>
          <w:tcPr>
            <w:tcW w:w="424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14AEC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9.</w:t>
            </w:r>
          </w:p>
        </w:tc>
        <w:tc>
          <w:tcPr>
            <w:tcW w:w="2402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4312E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Основні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заходи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409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F6555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Поліпшення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транспортно-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експлуатаційного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стану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мережі</w:t>
            </w:r>
            <w:proofErr w:type="spellEnd"/>
          </w:p>
          <w:p w14:paraId="21FF73DA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автомобільних доріг та споруд на них, забезпечення</w:t>
            </w:r>
          </w:p>
          <w:p w14:paraId="600C4357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безперервності розвитку мережі автомобільних доріг,</w:t>
            </w:r>
          </w:p>
          <w:p w14:paraId="518055F1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підвищення рівня їх капітальності відповідно до темпів</w:t>
            </w:r>
          </w:p>
          <w:p w14:paraId="436DE9A0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автомобілізації країни, підвищення швидкості, економічності,</w:t>
            </w:r>
          </w:p>
          <w:p w14:paraId="6AA86841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 комфортності та безпечності перевезення пасажирів і вантажів</w:t>
            </w:r>
          </w:p>
          <w:p w14:paraId="59B46A3E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автомобільним транспортом,</w:t>
            </w:r>
            <w:r w:rsidRPr="00EB4271">
              <w:rPr>
                <w:rFonts w:ascii="Calibri" w:eastAsia="Times New Roman" w:hAnsi="Calibri" w:cs="Calibri"/>
                <w:bdr w:val="none" w:sz="0" w:space="0" w:color="auto" w:frame="1"/>
                <w:lang w:eastAsia="uk-UA"/>
              </w:rPr>
              <w:t>    </w:t>
            </w: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поліпшення стану доріг</w:t>
            </w:r>
          </w:p>
          <w:p w14:paraId="795CA430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у сільській місцевості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3B334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Calibri" w:eastAsia="Times New Roman" w:hAnsi="Calibri" w:cs="Calibri"/>
                <w:bdr w:val="none" w:sz="0" w:space="0" w:color="auto" w:frame="1"/>
                <w:lang w:eastAsia="uk-UA"/>
              </w:rPr>
              <w:lastRenderedPageBreak/>
              <w:t> </w:t>
            </w:r>
          </w:p>
        </w:tc>
      </w:tr>
      <w:tr w:rsidR="00EB4271" w:rsidRPr="00EB4271" w14:paraId="5E35A44F" w14:textId="77777777" w:rsidTr="00B41533">
        <w:trPr>
          <w:trHeight w:val="420"/>
        </w:trPr>
        <w:tc>
          <w:tcPr>
            <w:tcW w:w="70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9ED7C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10.</w:t>
            </w:r>
          </w:p>
        </w:tc>
        <w:tc>
          <w:tcPr>
            <w:tcW w:w="2839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86FC2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Строки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реалізації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386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44AC8" w14:textId="4BDAEDC8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20</w:t>
            </w: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  <w:r w:rsidR="00472C0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-202</w:t>
            </w:r>
            <w:r w:rsidR="00472C0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роки</w:t>
            </w:r>
          </w:p>
        </w:tc>
      </w:tr>
      <w:tr w:rsidR="00EB4271" w:rsidRPr="00EB4271" w14:paraId="6851456E" w14:textId="77777777" w:rsidTr="00B41533">
        <w:trPr>
          <w:trHeight w:val="840"/>
        </w:trPr>
        <w:tc>
          <w:tcPr>
            <w:tcW w:w="70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D59BE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11.</w:t>
            </w:r>
          </w:p>
        </w:tc>
        <w:tc>
          <w:tcPr>
            <w:tcW w:w="2839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8AF35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Фінансове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забезпечення</w:t>
            </w:r>
          </w:p>
          <w:p w14:paraId="12864E49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386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60BAE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Фінансування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здійснюється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за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рахунок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коштів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 </w:t>
            </w:r>
          </w:p>
          <w:p w14:paraId="5CAADEC9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 місцевого бюджету та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інших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джерел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фінансування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,</w:t>
            </w:r>
          </w:p>
          <w:p w14:paraId="2231B74A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не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заборонених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чинним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законодавством</w:t>
            </w:r>
            <w:proofErr w:type="spellEnd"/>
          </w:p>
        </w:tc>
      </w:tr>
      <w:tr w:rsidR="00EB4271" w:rsidRPr="00EB4271" w14:paraId="6876FE15" w14:textId="77777777" w:rsidTr="00B41533">
        <w:trPr>
          <w:trHeight w:val="1020"/>
        </w:trPr>
        <w:tc>
          <w:tcPr>
            <w:tcW w:w="70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18BF8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12.</w:t>
            </w:r>
          </w:p>
        </w:tc>
        <w:tc>
          <w:tcPr>
            <w:tcW w:w="2839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35800" w14:textId="0FA8BA89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Загальний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обсяг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фінансових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ресурсів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, необхідних для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реалізації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у 202</w:t>
            </w:r>
            <w:r w:rsidR="00ED14C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-202</w:t>
            </w:r>
            <w:r w:rsidR="00ED14C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gram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роках  </w:t>
            </w: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тис</w:t>
            </w:r>
            <w:proofErr w:type="gram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. грн.</w:t>
            </w:r>
          </w:p>
        </w:tc>
        <w:tc>
          <w:tcPr>
            <w:tcW w:w="9386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6CA2C" w14:textId="48D58D33" w:rsidR="00EB4271" w:rsidRPr="00EB4271" w:rsidRDefault="00ED14CD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в межах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бюджетних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призначень</w:t>
            </w:r>
            <w:proofErr w:type="spellEnd"/>
          </w:p>
        </w:tc>
      </w:tr>
      <w:tr w:rsidR="00EB4271" w:rsidRPr="00EB4271" w14:paraId="0217EF48" w14:textId="77777777" w:rsidTr="00B41533">
        <w:trPr>
          <w:trHeight w:val="570"/>
        </w:trPr>
        <w:tc>
          <w:tcPr>
            <w:tcW w:w="70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E4E76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7.1</w:t>
            </w:r>
          </w:p>
        </w:tc>
        <w:tc>
          <w:tcPr>
            <w:tcW w:w="2839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4CEBF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В тому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числі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бюджетних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коштів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:</w:t>
            </w:r>
          </w:p>
        </w:tc>
        <w:tc>
          <w:tcPr>
            <w:tcW w:w="9386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C52F8" w14:textId="38344FD8" w:rsidR="00EB4271" w:rsidRPr="00EB4271" w:rsidRDefault="00ED14CD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(за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)</w:t>
            </w:r>
          </w:p>
        </w:tc>
      </w:tr>
      <w:tr w:rsidR="00EB4271" w:rsidRPr="00EB4271" w14:paraId="100A4F31" w14:textId="77777777" w:rsidTr="00B41533">
        <w:trPr>
          <w:trHeight w:val="540"/>
        </w:trPr>
        <w:tc>
          <w:tcPr>
            <w:tcW w:w="70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341F2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Calibri" w:eastAsia="Times New Roman" w:hAnsi="Calibri" w:cs="Calibri"/>
                <w:bdr w:val="none" w:sz="0" w:space="0" w:color="auto" w:frame="1"/>
                <w:lang w:eastAsia="uk-UA"/>
              </w:rPr>
              <w:t> </w:t>
            </w:r>
          </w:p>
        </w:tc>
        <w:tc>
          <w:tcPr>
            <w:tcW w:w="2839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5C1E1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- з них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коштів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gram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с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елищного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 бюджету</w:t>
            </w:r>
            <w:proofErr w:type="gramEnd"/>
          </w:p>
        </w:tc>
        <w:tc>
          <w:tcPr>
            <w:tcW w:w="9386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B7A94" w14:textId="60FC4A28" w:rsidR="00EB4271" w:rsidRPr="00EB4271" w:rsidRDefault="00ED14CD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(за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)</w:t>
            </w:r>
          </w:p>
        </w:tc>
      </w:tr>
      <w:tr w:rsidR="00EB4271" w:rsidRPr="00EB4271" w14:paraId="5265A2B1" w14:textId="77777777" w:rsidTr="00B41533">
        <w:trPr>
          <w:trHeight w:val="285"/>
        </w:trPr>
        <w:tc>
          <w:tcPr>
            <w:tcW w:w="70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CD2F4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Calibri" w:eastAsia="Times New Roman" w:hAnsi="Calibri" w:cs="Calibri"/>
                <w:bdr w:val="none" w:sz="0" w:space="0" w:color="auto" w:frame="1"/>
                <w:lang w:eastAsia="uk-UA"/>
              </w:rPr>
              <w:t> </w:t>
            </w:r>
          </w:p>
        </w:tc>
        <w:tc>
          <w:tcPr>
            <w:tcW w:w="2839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5D7C6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-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позабюджетні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кошти</w:t>
            </w:r>
            <w:proofErr w:type="spellEnd"/>
          </w:p>
        </w:tc>
        <w:tc>
          <w:tcPr>
            <w:tcW w:w="9386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38799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-</w:t>
            </w:r>
          </w:p>
        </w:tc>
      </w:tr>
      <w:tr w:rsidR="00EB4271" w:rsidRPr="00EB4271" w14:paraId="0266A6D3" w14:textId="77777777" w:rsidTr="00B41533">
        <w:trPr>
          <w:trHeight w:val="555"/>
        </w:trPr>
        <w:tc>
          <w:tcPr>
            <w:tcW w:w="70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F3D4A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8</w:t>
            </w:r>
          </w:p>
        </w:tc>
        <w:tc>
          <w:tcPr>
            <w:tcW w:w="2839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F0351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Основні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джерела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proofErr w:type="gram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фінансування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 </w:t>
            </w:r>
            <w:r w:rsidRPr="00EB4271">
              <w:rPr>
                <w:rFonts w:ascii="Calibri" w:eastAsia="Times New Roman" w:hAnsi="Calibri" w:cs="Calibri"/>
                <w:bdr w:val="none" w:sz="0" w:space="0" w:color="auto" w:frame="1"/>
                <w:lang w:eastAsia="uk-UA"/>
              </w:rPr>
              <w:t> 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програми</w:t>
            </w:r>
            <w:proofErr w:type="spellEnd"/>
            <w:proofErr w:type="gramEnd"/>
          </w:p>
        </w:tc>
        <w:tc>
          <w:tcPr>
            <w:tcW w:w="9386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F268C" w14:textId="77777777" w:rsidR="00EB4271" w:rsidRPr="00EB4271" w:rsidRDefault="00EB4271" w:rsidP="00EB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gram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С</w:t>
            </w:r>
            <w:proofErr w:type="spellStart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елищний</w:t>
            </w:r>
            <w:proofErr w:type="spellEnd"/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EB42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 бюджет</w:t>
            </w:r>
            <w:proofErr w:type="gramEnd"/>
          </w:p>
        </w:tc>
      </w:tr>
    </w:tbl>
    <w:p w14:paraId="371A9796" w14:textId="77777777" w:rsidR="00EB4271" w:rsidRPr="00EB4271" w:rsidRDefault="00EB4271" w:rsidP="00EB4271">
      <w:pPr>
        <w:shd w:val="clear" w:color="auto" w:fill="FFFFFF"/>
        <w:spacing w:before="225" w:after="225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14:paraId="12363269" w14:textId="77777777" w:rsidR="00EB4271" w:rsidRPr="00EB4271" w:rsidRDefault="00EB4271" w:rsidP="00EB42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1.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Загальні положення </w:t>
      </w:r>
    </w:p>
    <w:p w14:paraId="44389340" w14:textId="77777777" w:rsidR="00EB4271" w:rsidRPr="00EB4271" w:rsidRDefault="00EB4271" w:rsidP="00EB42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Мережа автомобільних доріг є невід'ємною частиною єдиної транспортної системи, що забезпечує роботу всіх галузей промисловості і сільського господарства, соціальний розвиток суспільства. Окрім того, з їх експлуатацією, забезпечується рівномірний наземний доступ у різні місця району, області, країни, а також безпечне та надійне переміщення людей і транспортування товарів із належною ефективністю.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дороги є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однією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підсистем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економічної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системи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країни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, вони є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суспільним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продуктом та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мають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надзвичайно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важливе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4975E56D" w14:textId="77777777" w:rsidR="00EB4271" w:rsidRPr="00EB4271" w:rsidRDefault="00EB4271" w:rsidP="00EB42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           Від стану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залежать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витрати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перевезення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вантажів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пасажирів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рівень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цін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певною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мірою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зайнятість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населення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темпи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розвитку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економіки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держави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загалом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. У свою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чергу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стан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темпи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розвитку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дорожньої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галузі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визначаються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економічними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можливостями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рівнем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галузі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господарства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4AEF6502" w14:textId="77777777" w:rsidR="00EB4271" w:rsidRPr="00EB4271" w:rsidRDefault="00EB4271" w:rsidP="00EB42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          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Однак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сьогодні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стан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розвитку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господарства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країни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свідчить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про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певні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труднощі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зумовлені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недостатнім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фінансуванням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дорожньо-ремонтних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робіт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порівняно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з нормативними потребами.</w:t>
      </w:r>
    </w:p>
    <w:p w14:paraId="5D02D278" w14:textId="77777777" w:rsidR="00EB4271" w:rsidRPr="00EB4271" w:rsidRDefault="00EB4271" w:rsidP="00EB42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           Основою для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розроблення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даної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є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Закони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України «Про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дороги», «Про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дорожній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рух», «Про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автомобільний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транспорт», «Про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джерела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господарства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України», постанова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Кабінету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Міністрів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України від 30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березня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1994 р. № 198 «Про затвердження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Єдиних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правил ремонту і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залізничних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переїздів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, правил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ними та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охорони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».</w:t>
      </w:r>
    </w:p>
    <w:p w14:paraId="50513024" w14:textId="77777777" w:rsidR="00EB4271" w:rsidRPr="00EB4271" w:rsidRDefault="00EB4271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</w:p>
    <w:p w14:paraId="55B0BA28" w14:textId="77777777" w:rsidR="00EB4271" w:rsidRPr="00EB4271" w:rsidRDefault="00EB4271" w:rsidP="00EB4271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14:paraId="77E26BA4" w14:textId="77777777" w:rsidR="00EB4271" w:rsidRPr="00EB4271" w:rsidRDefault="00EB4271" w:rsidP="00EB4271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14:paraId="44486DFC" w14:textId="77777777" w:rsidR="00EB4271" w:rsidRPr="00EB4271" w:rsidRDefault="00EB4271" w:rsidP="00EB42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2.Мета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29B03CAE" w14:textId="77777777" w:rsidR="00EB4271" w:rsidRPr="00EB4271" w:rsidRDefault="00EB4271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           2.</w:t>
      </w:r>
      <w:proofErr w:type="gram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1.Метою</w:t>
      </w:r>
      <w:proofErr w:type="gram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є:</w:t>
      </w:r>
    </w:p>
    <w:p w14:paraId="6914BAC5" w14:textId="77777777" w:rsidR="00EB4271" w:rsidRPr="00EB4271" w:rsidRDefault="00EB4271" w:rsidP="00EB42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покращення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стану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за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рахунок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коштів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с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елищного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бюджету,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що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позитивно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вплине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соціально-економічний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розвиток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населених пунктів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proofErr w:type="gramStart"/>
      <w:r w:rsidR="00825C3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Березнянської</w:t>
      </w:r>
      <w:r w:rsidR="001304E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селищної</w:t>
      </w:r>
      <w:proofErr w:type="gram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ради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5B4E166B" w14:textId="7AC37E7A" w:rsidR="00EB4271" w:rsidRPr="00EB4271" w:rsidRDefault="00EB4271" w:rsidP="00EB42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збереження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наявної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мережі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доведенням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термінів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експлуатації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покриття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до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міжремонтних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строків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5DBEF491" w14:textId="77777777" w:rsidR="00EB4271" w:rsidRPr="00EB4271" w:rsidRDefault="00EB4271" w:rsidP="00EB42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lastRenderedPageBreak/>
        <w:t xml:space="preserve">            -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розвиток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дорожньої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інфраструктури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створення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безпечних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умов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руху на території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825C3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Березнянської 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селищної ради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01B93586" w14:textId="77777777" w:rsidR="00EB4271" w:rsidRPr="00EB4271" w:rsidRDefault="00EB4271" w:rsidP="00EB42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          - </w:t>
      </w:r>
      <w:proofErr w:type="spellStart"/>
      <w:proofErr w:type="gram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поліпшення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транспортно</w:t>
      </w:r>
      <w:proofErr w:type="spellEnd"/>
      <w:proofErr w:type="gramEnd"/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–</w:t>
      </w:r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експлуатаційного</w:t>
      </w:r>
      <w:proofErr w:type="spellEnd"/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стану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у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сільській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місцевості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3946F6CC" w14:textId="77777777" w:rsidR="00EB4271" w:rsidRPr="00EB4271" w:rsidRDefault="00EB4271" w:rsidP="00EB42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- покращення соціально-економічного розвитку населених пунктів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FE59D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Березнянської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селищної ради, збільшення інвестиційної привабливості та розвитку сільського господарства за рахунок будівництва, реконструкції, ремонту та утримання вулиць і доріг комунальної власності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громади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FE59D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Березнянської 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селищної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ради;</w:t>
      </w:r>
    </w:p>
    <w:p w14:paraId="7276D4E3" w14:textId="55166C64" w:rsidR="00EB4271" w:rsidRPr="00EB4271" w:rsidRDefault="00EB4271" w:rsidP="00EB42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- забезпечення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життєво</w:t>
      </w:r>
      <w:proofErr w:type="spellEnd"/>
      <w:r w:rsid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-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важливих інтересів населення, об'єктів виробництва, підприємств, установ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 </w:t>
      </w:r>
      <w:r w:rsidR="00FE59D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Березнянської 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селищної ради незалежно від форм власності шляхом покращення якості шляхів сполучення.</w:t>
      </w:r>
    </w:p>
    <w:p w14:paraId="53D20512" w14:textId="77777777" w:rsidR="00EB4271" w:rsidRPr="00EB4271" w:rsidRDefault="00EB4271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</w:p>
    <w:p w14:paraId="3B196013" w14:textId="77777777" w:rsidR="00EB4271" w:rsidRPr="00EB4271" w:rsidRDefault="00EB4271" w:rsidP="00EB42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3.Визначення </w:t>
      </w:r>
      <w:proofErr w:type="spellStart"/>
      <w:proofErr w:type="gram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проблеми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,</w:t>
      </w:r>
      <w:r w:rsidRPr="00EB4271">
        <w:rPr>
          <w:rFonts w:ascii="Calibri" w:eastAsia="Times New Roman" w:hAnsi="Calibri" w:cs="Calibri"/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на</w:t>
      </w:r>
      <w:proofErr w:type="gramEnd"/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розв’язання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r w:rsidRPr="00EB4271">
        <w:rPr>
          <w:rFonts w:ascii="Calibri" w:eastAsia="Times New Roman" w:hAnsi="Calibri" w:cs="Calibri"/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якої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r w:rsidRPr="00EB4271">
        <w:rPr>
          <w:rFonts w:ascii="Calibri" w:eastAsia="Times New Roman" w:hAnsi="Calibri" w:cs="Calibri"/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спрямована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r w:rsidRPr="00EB4271">
        <w:rPr>
          <w:rFonts w:ascii="Calibri" w:eastAsia="Times New Roman" w:hAnsi="Calibri" w:cs="Calibri"/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Програма</w:t>
      </w:r>
      <w:proofErr w:type="spellEnd"/>
    </w:p>
    <w:p w14:paraId="57879F41" w14:textId="77777777" w:rsidR="00EB4271" w:rsidRPr="00EB4271" w:rsidRDefault="00EB4271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           3.</w:t>
      </w:r>
      <w:proofErr w:type="gram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1.Закон</w:t>
      </w:r>
      <w:proofErr w:type="gram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України «Про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дороги»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регулює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відносини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пов’язані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функціонуванням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розвитком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.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Цим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законом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визначено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що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дороги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поділяються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на:</w:t>
      </w:r>
    </w:p>
    <w:p w14:paraId="08F55F1A" w14:textId="77777777" w:rsidR="00EB4271" w:rsidRPr="00EB4271" w:rsidRDefault="00EB4271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дороги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загального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державного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484E1DCB" w14:textId="77777777" w:rsidR="00EB4271" w:rsidRPr="00EB4271" w:rsidRDefault="00EB4271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дороги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загального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місцевого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77D9DB2C" w14:textId="77777777" w:rsidR="00EB4271" w:rsidRPr="00EB4271" w:rsidRDefault="00EB4271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дороги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міст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інших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населених пунктів;</w:t>
      </w:r>
    </w:p>
    <w:p w14:paraId="7BBA0C6F" w14:textId="77777777" w:rsidR="00EB4271" w:rsidRPr="00EB4271" w:rsidRDefault="00EB4271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відомчі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(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технологічні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)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дороги;</w:t>
      </w:r>
    </w:p>
    <w:p w14:paraId="2B7BFC6E" w14:textId="77777777" w:rsidR="00EB4271" w:rsidRPr="00EB4271" w:rsidRDefault="00EB4271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автомобільні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дороги на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приватних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територіях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4E8FD669" w14:textId="77777777" w:rsidR="00EB4271" w:rsidRPr="00EB4271" w:rsidRDefault="00EB4271" w:rsidP="00EB42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           3.</w:t>
      </w:r>
      <w:proofErr w:type="gram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2.Державне</w:t>
      </w:r>
      <w:proofErr w:type="gram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управління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автомобільними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дорогами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загального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здійснює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Державне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агентство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України (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Укравтодор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), яке має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органи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управління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місцях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–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філії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Служби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7F215ACC" w14:textId="77777777" w:rsidR="00EB4271" w:rsidRPr="00EB4271" w:rsidRDefault="00EB4271" w:rsidP="00EB42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           3.</w:t>
      </w:r>
      <w:proofErr w:type="gram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3.Управління</w:t>
      </w:r>
      <w:proofErr w:type="gram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функціонуванням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розвитком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міст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інших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населених пунктів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здійснюється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відповідними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органами місцевого самоврядування, у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віданні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яких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вони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знаходяться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3DA55073" w14:textId="7ECAA963" w:rsidR="00EB4271" w:rsidRPr="00472C05" w:rsidRDefault="00EB4271" w:rsidP="00472C05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74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У зв’язку зі значним транспортним навантаженням, шляхова мережа</w:t>
      </w:r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територіальної  громади </w:t>
      </w:r>
      <w:r w:rsidR="0039655E"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Березнянської </w:t>
      </w:r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селищної ради</w:t>
      </w:r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втратила свої експлуатаційні якості і потребує як утримання так і ремонту. </w:t>
      </w:r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Перш за все </w:t>
      </w:r>
      <w:proofErr w:type="spellStart"/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викликають</w:t>
      </w:r>
      <w:proofErr w:type="spellEnd"/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занепокоєння</w:t>
      </w:r>
      <w:proofErr w:type="spellEnd"/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ті</w:t>
      </w:r>
      <w:proofErr w:type="spellEnd"/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ділянки</w:t>
      </w:r>
      <w:proofErr w:type="spellEnd"/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,</w:t>
      </w:r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по </w:t>
      </w:r>
      <w:proofErr w:type="spellStart"/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яких</w:t>
      </w:r>
      <w:proofErr w:type="spellEnd"/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проходять</w:t>
      </w:r>
      <w:proofErr w:type="spellEnd"/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автобусні</w:t>
      </w:r>
      <w:proofErr w:type="spellEnd"/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сполучення</w:t>
      </w:r>
      <w:proofErr w:type="spellEnd"/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, підвезення </w:t>
      </w:r>
      <w:proofErr w:type="spellStart"/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дітей</w:t>
      </w:r>
      <w:proofErr w:type="spellEnd"/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до навчальних закладів, </w:t>
      </w:r>
      <w:proofErr w:type="spellStart"/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надання</w:t>
      </w:r>
      <w:proofErr w:type="spellEnd"/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невідкладної</w:t>
      </w:r>
      <w:proofErr w:type="spellEnd"/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медичної</w:t>
      </w:r>
      <w:proofErr w:type="spellEnd"/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допомоги</w:t>
      </w:r>
      <w:proofErr w:type="spellEnd"/>
      <w:r w:rsidRP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0A0C2DDD" w14:textId="0955B38C" w:rsidR="00EB4271" w:rsidRPr="00EB4271" w:rsidRDefault="00EB4271" w:rsidP="00EB42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          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Внаслідок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обмеженого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обсяги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здійснення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ремонтних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робіт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існуючої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мережі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є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недостатніми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. На даний час не </w:t>
      </w:r>
      <w:proofErr w:type="spellStart"/>
      <w:proofErr w:type="gram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здійснюється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 ремонт</w:t>
      </w:r>
      <w:proofErr w:type="gram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покриття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на території населених пунктів </w:t>
      </w:r>
      <w:r w:rsid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Б</w:t>
      </w:r>
      <w:r w:rsidR="0039655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ерезнянської 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селищної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ради, 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попередній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ямковий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ремонт </w:t>
      </w:r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не</w:t>
      </w:r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має</w:t>
      </w:r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довготривалого</w:t>
      </w:r>
      <w:proofErr w:type="spellEnd"/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ефекту</w:t>
      </w:r>
      <w:proofErr w:type="spellEnd"/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і  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потребує</w:t>
      </w:r>
      <w:proofErr w:type="spellEnd"/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його</w:t>
      </w:r>
      <w:proofErr w:type="spellEnd"/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повторного</w:t>
      </w:r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здійснення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. </w:t>
      </w:r>
    </w:p>
    <w:p w14:paraId="104821D9" w14:textId="364A4E62" w:rsidR="00EB4271" w:rsidRPr="00EB4271" w:rsidRDefault="00EB4271" w:rsidP="00EB42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           3.</w:t>
      </w:r>
      <w:proofErr w:type="gram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5.Критеріями</w:t>
      </w:r>
      <w:proofErr w:type="gram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стратегії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розвитку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території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9655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Березнянської 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селищної ради  на 202</w:t>
      </w:r>
      <w:r w:rsid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3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-202</w:t>
      </w:r>
      <w:r w:rsid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5 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роки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враховуючи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їх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незадовільний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експлуатаційний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стан є:</w:t>
      </w:r>
    </w:p>
    <w:p w14:paraId="3A473BE7" w14:textId="77777777" w:rsidR="00EB4271" w:rsidRPr="00EB4271" w:rsidRDefault="00EB4271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збереження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мережі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59D1DDFD" w14:textId="77777777" w:rsidR="00EB4271" w:rsidRPr="00EB4271" w:rsidRDefault="00EB4271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           - забезпечення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ефективного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функціонування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безпеки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руху;</w:t>
      </w:r>
    </w:p>
    <w:p w14:paraId="633E2147" w14:textId="3805C7DD" w:rsidR="00EB4271" w:rsidRPr="00EB4271" w:rsidRDefault="00EB4271" w:rsidP="00EB42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           - забезпечення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транспортної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proofErr w:type="gram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доступності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між</w:t>
      </w:r>
      <w:proofErr w:type="spellEnd"/>
      <w:proofErr w:type="gram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населеними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пунктами</w:t>
      </w:r>
      <w:r w:rsid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618F8FFC" w14:textId="50D12D18" w:rsidR="00EB4271" w:rsidRDefault="00EB4271" w:rsidP="00EB4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запровадження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механізму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державно-приватного партнерства для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реалізації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інфраструктурних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proofErr w:type="gram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проектів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, </w:t>
      </w:r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співпраця</w:t>
      </w:r>
      <w:proofErr w:type="spellEnd"/>
      <w:proofErr w:type="gramEnd"/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з</w:t>
      </w:r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сільськогосподарськими</w:t>
      </w:r>
      <w:proofErr w:type="spellEnd"/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  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господарствами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03BBDA53" w14:textId="77777777" w:rsidR="00472C05" w:rsidRPr="00EB4271" w:rsidRDefault="00472C05" w:rsidP="00EB42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5B93A5AA" w14:textId="77777777" w:rsidR="00EB4271" w:rsidRPr="00EB4271" w:rsidRDefault="00EB4271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                                                  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4.</w:t>
      </w:r>
      <w:proofErr w:type="gram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Перелік </w:t>
      </w:r>
      <w:r w:rsidRPr="00EB4271">
        <w:rPr>
          <w:rFonts w:ascii="Calibri" w:eastAsia="Times New Roman" w:hAnsi="Calibri" w:cs="Calibri"/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завдань</w:t>
      </w:r>
      <w:proofErr w:type="gramEnd"/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r w:rsidRPr="00EB4271">
        <w:rPr>
          <w:rFonts w:ascii="Calibri" w:eastAsia="Times New Roman" w:hAnsi="Calibri" w:cs="Calibri"/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і </w:t>
      </w:r>
      <w:r w:rsidRPr="00EB4271">
        <w:rPr>
          <w:rFonts w:ascii="Calibri" w:eastAsia="Times New Roman" w:hAnsi="Calibri" w:cs="Calibri"/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заходів </w:t>
      </w:r>
      <w:r w:rsidRPr="00EB4271">
        <w:rPr>
          <w:rFonts w:ascii="Calibri" w:eastAsia="Times New Roman" w:hAnsi="Calibri" w:cs="Calibri"/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</w:p>
    <w:p w14:paraId="4A4752E8" w14:textId="77777777" w:rsidR="00EB4271" w:rsidRPr="00EB4271" w:rsidRDefault="00EB4271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           4.</w:t>
      </w:r>
      <w:proofErr w:type="gram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1.Основними</w:t>
      </w:r>
      <w:proofErr w:type="gram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завданнями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є:</w:t>
      </w:r>
    </w:p>
    <w:p w14:paraId="2D447A8E" w14:textId="77777777" w:rsidR="00EB4271" w:rsidRPr="00EB4271" w:rsidRDefault="00EB4271" w:rsidP="00EB42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- забезпечення належного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ефективної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експлуатації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на території населених </w:t>
      </w:r>
      <w:proofErr w:type="gram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пунктів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громади</w:t>
      </w:r>
      <w:proofErr w:type="gram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 </w:t>
      </w:r>
      <w:r w:rsidR="0039655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Березнянської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селищної ради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371E5F1F" w14:textId="77777777" w:rsidR="00EB4271" w:rsidRPr="00EB4271" w:rsidRDefault="00EB4271" w:rsidP="00EB42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proofErr w:type="gram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досягнення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належного</w:t>
      </w:r>
      <w:proofErr w:type="gramEnd"/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рівня</w:t>
      </w:r>
      <w:proofErr w:type="spellEnd"/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та </w:t>
      </w:r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ефективної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експлуатації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2333F152" w14:textId="70706F9C" w:rsidR="00EB4271" w:rsidRPr="00EB4271" w:rsidRDefault="00EB4271" w:rsidP="00EB42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впорядкування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руху на території населених пунктів </w:t>
      </w:r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proofErr w:type="gram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громади  </w:t>
      </w:r>
      <w:r w:rsidR="00472C0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gramEnd"/>
      <w:r w:rsidR="0039655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селищної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ради.</w:t>
      </w:r>
    </w:p>
    <w:p w14:paraId="1ABD8E17" w14:textId="77777777" w:rsidR="00EB4271" w:rsidRPr="00EB4271" w:rsidRDefault="00EB4271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</w:p>
    <w:p w14:paraId="7500BDC7" w14:textId="77777777" w:rsidR="00EB4271" w:rsidRPr="00EB4271" w:rsidRDefault="00EB4271" w:rsidP="00EB42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5.Очікувані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результати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виконання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</w:p>
    <w:p w14:paraId="387D68B0" w14:textId="77777777" w:rsidR="00EB4271" w:rsidRPr="00EB4271" w:rsidRDefault="00EB4271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           5.</w:t>
      </w:r>
      <w:proofErr w:type="gram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1.Виконання</w:t>
      </w:r>
      <w:proofErr w:type="gram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забезпечить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:</w:t>
      </w:r>
    </w:p>
    <w:p w14:paraId="3E260945" w14:textId="77777777" w:rsidR="00EB4271" w:rsidRPr="00EB4271" w:rsidRDefault="00EB4271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lastRenderedPageBreak/>
        <w:t xml:space="preserve">            -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збереження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існуючої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мережі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від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руйнування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543E7408" w14:textId="77777777" w:rsidR="00EB4271" w:rsidRPr="00EB4271" w:rsidRDefault="00EB4271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           - виконання заходів з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безпеки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руху;</w:t>
      </w:r>
    </w:p>
    <w:p w14:paraId="7AF63A2F" w14:textId="77777777" w:rsidR="00EB4271" w:rsidRPr="00EB4271" w:rsidRDefault="00EB4271" w:rsidP="00EB42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ліквідацію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незадовільних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умов руху автотранспорту, у тому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числі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маршрутів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загального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користування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, на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аварійних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ділянках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шляхом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проведення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на них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ремонтних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робіт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532310C3" w14:textId="77777777" w:rsidR="00EB4271" w:rsidRPr="00EB4271" w:rsidRDefault="00EB4271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покращення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транспортного,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пішохідного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зв’язку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безпеки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руху;</w:t>
      </w:r>
    </w:p>
    <w:p w14:paraId="0346F411" w14:textId="77777777" w:rsidR="00EB4271" w:rsidRPr="00EB4271" w:rsidRDefault="00EB4271" w:rsidP="00EB42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покращення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експлуатаційного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стану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540DE0E1" w14:textId="77777777" w:rsidR="00EB4271" w:rsidRPr="00EB4271" w:rsidRDefault="00EB4271" w:rsidP="00EB42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           -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раціональне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галузі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дорожнього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господарства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, 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саме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: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виділення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коштів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на 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будівництво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реконструкцію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, ремонт та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.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br/>
        <w:t xml:space="preserve">            5.2.Вирішення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цих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проблем дозволить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покращити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імідж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громади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що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призведе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до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покращення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соціально-економічного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розвитку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9655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Березнянської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селищної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ради в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цілому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поліпшення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інвестиційного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клімату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сприятиме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залученню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нових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інвестицій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у громаду, дозволить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розвиватися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діючим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підприємствам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створенню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нових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суб’єктів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господарської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діяльності,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забезпечить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повноцінне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проживання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, роботу і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відпочинок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мешканців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громади.</w:t>
      </w:r>
    </w:p>
    <w:p w14:paraId="3378F421" w14:textId="77777777" w:rsidR="00EB4271" w:rsidRPr="00EB4271" w:rsidRDefault="00EB4271" w:rsidP="00EB42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          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Сприяння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безперешкодному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доступу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осіб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інвалідністю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інших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маломобільних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груп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населення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 </w:t>
      </w:r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об'єктів</w:t>
      </w:r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дорожньої</w:t>
      </w:r>
      <w:proofErr w:type="spellEnd"/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інфраструктури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423A5F0B" w14:textId="77777777" w:rsidR="00EB4271" w:rsidRPr="00EB4271" w:rsidRDefault="00EB4271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</w:p>
    <w:p w14:paraId="545D06A8" w14:textId="77777777" w:rsidR="00EB4271" w:rsidRPr="00EB4271" w:rsidRDefault="00EB4271" w:rsidP="00EB42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6.Фінансування 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0FD536D2" w14:textId="6034CA50" w:rsidR="00EB4271" w:rsidRPr="00EB4271" w:rsidRDefault="00EB4271" w:rsidP="00EB42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           6.1.Головний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розпорядник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коштів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– </w:t>
      </w:r>
      <w:r w:rsidR="0039655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Березнянська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селищна рада 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в межах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бюджетних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ED14C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можливостей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передбачає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кошти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01A4DD53" w14:textId="77777777" w:rsidR="00EB4271" w:rsidRPr="00EB4271" w:rsidRDefault="00EB4271" w:rsidP="00EB42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           6.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2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.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 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здійснюється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в межах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видатків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,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передбачених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у с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елищному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бюд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жеті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громади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на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відповідний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рік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,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по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КПК 0117442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«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Утримання та розвиток  інших об’єктів транспортної інфраструктури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»,  а також за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рахунок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інших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джерел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, не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заборонених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чинним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законодавством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2CCB741F" w14:textId="77777777" w:rsidR="00EB4271" w:rsidRPr="00EB4271" w:rsidRDefault="00EB4271" w:rsidP="00EB42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           6.</w:t>
      </w:r>
      <w:proofErr w:type="gram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4.Програма</w:t>
      </w:r>
      <w:proofErr w:type="gram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є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необхідною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для забезпечення ремонту та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утриманням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автомобільних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місцевого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значення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вулиць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і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доріг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комунальної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власності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</w:t>
      </w:r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громади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.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Доцільність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заходів є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обґрунтованими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.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Програма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потребує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залучення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коштів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Державного, місцевого бюджету та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інших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джерел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, не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заборонених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чинним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законодавством</w:t>
      </w:r>
      <w:proofErr w:type="spellEnd"/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1432A13B" w14:textId="77777777" w:rsidR="00EB4271" w:rsidRPr="00EB4271" w:rsidRDefault="00EB4271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</w:p>
    <w:p w14:paraId="75601CD9" w14:textId="77777777" w:rsidR="00EB4271" w:rsidRPr="00EB4271" w:rsidRDefault="00EB4271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</w:p>
    <w:p w14:paraId="033FB32D" w14:textId="77777777" w:rsidR="00EB4271" w:rsidRPr="00EB4271" w:rsidRDefault="00EB4271" w:rsidP="00EB42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Секретар с</w:t>
      </w:r>
      <w:proofErr w:type="spellStart"/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елищної</w:t>
      </w:r>
      <w:proofErr w:type="spellEnd"/>
      <w:r w:rsidRPr="00EB42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 ради                                                          </w:t>
      </w:r>
      <w:r w:rsidR="003965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Лариса МИРОНЕНКО</w:t>
      </w:r>
    </w:p>
    <w:p w14:paraId="3DC9644B" w14:textId="77777777" w:rsidR="00EB4271" w:rsidRPr="00EB4271" w:rsidRDefault="00EB4271" w:rsidP="00EB427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  <w:lang w:eastAsia="uk-UA"/>
        </w:rPr>
        <w:t> </w:t>
      </w:r>
    </w:p>
    <w:p w14:paraId="72196BC2" w14:textId="77777777" w:rsidR="00EB4271" w:rsidRDefault="00EB4271"/>
    <w:sectPr w:rsidR="00EB4271" w:rsidSect="00EB4271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60C03"/>
    <w:multiLevelType w:val="multilevel"/>
    <w:tmpl w:val="EC1A2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6B57C5"/>
    <w:multiLevelType w:val="multilevel"/>
    <w:tmpl w:val="7FA0B1A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  <w:sz w:val="28"/>
      </w:rPr>
    </w:lvl>
    <w:lvl w:ilvl="1">
      <w:start w:val="4"/>
      <w:numFmt w:val="decimal"/>
      <w:isLgl/>
      <w:lvlText w:val="%1.%2."/>
      <w:lvlJc w:val="left"/>
      <w:pPr>
        <w:ind w:left="141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8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87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633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7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879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0200" w:hanging="1800"/>
      </w:pPr>
      <w:rPr>
        <w:rFonts w:ascii="Times New Roman" w:hAnsi="Times New Roman"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71"/>
    <w:rsid w:val="001304EF"/>
    <w:rsid w:val="00154EB3"/>
    <w:rsid w:val="001C0C71"/>
    <w:rsid w:val="0039655E"/>
    <w:rsid w:val="00472C05"/>
    <w:rsid w:val="005C7D88"/>
    <w:rsid w:val="00825C35"/>
    <w:rsid w:val="00860615"/>
    <w:rsid w:val="00876242"/>
    <w:rsid w:val="00B41533"/>
    <w:rsid w:val="00C64CC9"/>
    <w:rsid w:val="00E458CA"/>
    <w:rsid w:val="00E637E8"/>
    <w:rsid w:val="00EB4271"/>
    <w:rsid w:val="00ED14CD"/>
    <w:rsid w:val="00F27F02"/>
    <w:rsid w:val="00F51C56"/>
    <w:rsid w:val="00FE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2A04"/>
  <w15:chartTrackingRefBased/>
  <w15:docId w15:val="{1D02179B-C9A4-4EA5-8E1D-CCD9D411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2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4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4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7635</Words>
  <Characters>4352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2022-12-20T08:45:00Z</cp:lastPrinted>
  <dcterms:created xsi:type="dcterms:W3CDTF">2023-01-31T13:11:00Z</dcterms:created>
  <dcterms:modified xsi:type="dcterms:W3CDTF">2023-01-31T13:11:00Z</dcterms:modified>
</cp:coreProperties>
</file>