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90" w:rsidRPr="00B9256D" w:rsidRDefault="00CA7A90" w:rsidP="00CA7A90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6pt" o:ole="">
            <v:imagedata r:id="rId7" o:title=""/>
          </v:shape>
          <o:OLEObject Type="Embed" ProgID="Word.Picture.6" ShapeID="_x0000_i1025" DrawAspect="Content" ObjectID="_1769859954" r:id="rId8"/>
        </w:objec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/тридцять </w:t>
      </w:r>
      <w:r w:rsidR="00AA3984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CA7A90" w:rsidRDefault="00CA7A90" w:rsidP="00CA7A90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CA7A90" w:rsidRPr="002C4170" w:rsidRDefault="00CA7A90" w:rsidP="00CA7A90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Від___ лютого  2024 року                                             №  ____/___-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CA7A90" w:rsidRDefault="00CA7A90" w:rsidP="00CA7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A90" w:rsidRDefault="00CA7A90" w:rsidP="00CA7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CA7A90" w:rsidRPr="006F7483" w:rsidRDefault="00CA7A90" w:rsidP="00CA7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:rsidR="00CA7A90" w:rsidRDefault="00CA7A90" w:rsidP="00CA7A90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</w:t>
      </w:r>
    </w:p>
    <w:p w:rsidR="00CA7A90" w:rsidRDefault="00AA3984" w:rsidP="00CA7A90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2024</w:t>
      </w:r>
      <w:r w:rsidR="00CA7A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рік Код бюджету 2555200000</w:t>
      </w:r>
      <w:r w:rsidR="00CA7A90">
        <w:rPr>
          <w:rFonts w:ascii="Times New Roman" w:hAnsi="Times New Roman" w:cs="Times New Roman"/>
          <w:b/>
          <w:sz w:val="28"/>
          <w:szCs w:val="28"/>
        </w:rPr>
        <w:t>»</w:t>
      </w:r>
    </w:p>
    <w:p w:rsidR="00CA7A90" w:rsidRDefault="00AA3984" w:rsidP="00CA7A90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18 грудня 2023</w:t>
      </w:r>
      <w:r w:rsidR="00CA7A9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CA7A90" w:rsidRDefault="00CA7A90" w:rsidP="00CA7A90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CA7A90" w:rsidRDefault="00CA7A90" w:rsidP="00CA7A90"/>
    <w:p w:rsidR="00CA7A90" w:rsidRDefault="00CA7A90" w:rsidP="00CA7A90"/>
    <w:p w:rsidR="00CA7A90" w:rsidRDefault="004F471A" w:rsidP="00CA7A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 Бюджетний кодекс</w:t>
      </w:r>
      <w:r w:rsidR="00CA7A90">
        <w:rPr>
          <w:rFonts w:ascii="Times New Roman" w:hAnsi="Times New Roman" w:cs="Times New Roman"/>
          <w:sz w:val="28"/>
          <w:szCs w:val="28"/>
        </w:rPr>
        <w:t xml:space="preserve">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 w:rsidR="00CA7A90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CA7A90"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="00CA7A90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CA7A90">
        <w:rPr>
          <w:rFonts w:ascii="Times New Roman" w:hAnsi="Times New Roman" w:cs="Times New Roman"/>
          <w:sz w:val="28"/>
          <w:szCs w:val="28"/>
        </w:rPr>
        <w:t>:</w:t>
      </w:r>
    </w:p>
    <w:p w:rsidR="00CA7A90" w:rsidRDefault="00CA7A90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6C7" w:rsidRPr="004B26C7" w:rsidRDefault="004B26C7" w:rsidP="004B26C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7A90" w:rsidRPr="00406731" w:rsidRDefault="00406731" w:rsidP="0040673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CA7A90" w:rsidRPr="00406731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</w:t>
      </w:r>
      <w:r w:rsidR="00CA7A90" w:rsidRPr="00406731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сесії </w:t>
      </w:r>
      <w:proofErr w:type="spellStart"/>
      <w:r w:rsidR="00CA7A90" w:rsidRPr="00406731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CA7A90" w:rsidRPr="00406731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селищної ради «</w:t>
      </w:r>
      <w:r w:rsidR="00CA7A90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Про селищний  бюджет </w:t>
      </w:r>
      <w:proofErr w:type="spellStart"/>
      <w:r w:rsidR="00CA7A90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>Березнянської</w:t>
      </w:r>
      <w:proofErr w:type="spellEnd"/>
      <w:r w:rsidR="00CA7A90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селищної територіальної </w:t>
      </w:r>
      <w:r w:rsidR="00AA3984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>громади на 2024</w:t>
      </w:r>
      <w:r w:rsidR="00CA7A90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рік Код бюджету 2555200000</w:t>
      </w:r>
      <w:r w:rsidR="00CA7A90" w:rsidRPr="00406731">
        <w:rPr>
          <w:rFonts w:ascii="Times New Roman" w:hAnsi="Times New Roman"/>
          <w:sz w:val="28"/>
          <w:szCs w:val="28"/>
          <w:lang w:val="uk-UA"/>
        </w:rPr>
        <w:t>»</w:t>
      </w:r>
      <w:r w:rsidR="00CA7A90" w:rsidRPr="0040673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CA7A90" w:rsidRPr="004067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A3984" w:rsidRPr="00406731">
        <w:rPr>
          <w:rFonts w:ascii="Times New Roman" w:hAnsi="Times New Roman"/>
          <w:sz w:val="28"/>
          <w:szCs w:val="28"/>
          <w:lang w:val="uk-UA"/>
        </w:rPr>
        <w:t>18 грудня 2023</w:t>
      </w:r>
      <w:r w:rsidR="00CA7A90" w:rsidRPr="0040673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4B26C7" w:rsidRPr="00406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здійснивши розподіл вільно</w:t>
      </w:r>
      <w:r w:rsidR="004F471A">
        <w:rPr>
          <w:rFonts w:ascii="Times New Roman" w:hAnsi="Times New Roman"/>
          <w:sz w:val="28"/>
          <w:szCs w:val="28"/>
          <w:lang w:val="uk-UA"/>
        </w:rPr>
        <w:t>го залишку бюджетних коштів, яки</w:t>
      </w:r>
      <w:r>
        <w:rPr>
          <w:rFonts w:ascii="Times New Roman" w:hAnsi="Times New Roman"/>
          <w:sz w:val="28"/>
          <w:szCs w:val="28"/>
          <w:lang w:val="uk-UA"/>
        </w:rPr>
        <w:t>й склався на рахунку загального фонду селищного бюджету станом на 01 січня 2024 року</w:t>
      </w:r>
      <w:r w:rsidR="009406CC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CA7A90" w:rsidRPr="00BD2345" w:rsidRDefault="00CA7A90" w:rsidP="00CA7A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 w:rsidR="004B26C7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B26C7">
        <w:rPr>
          <w:rFonts w:ascii="Times New Roman" w:hAnsi="Times New Roman" w:cs="Times New Roman"/>
          <w:sz w:val="28"/>
          <w:szCs w:val="28"/>
        </w:rPr>
        <w:t>від 18 грудня 2023</w:t>
      </w:r>
      <w:r w:rsidRPr="00BD2345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:rsidR="00CA7A90" w:rsidRDefault="004B26C7" w:rsidP="00CA7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2024</w:t>
      </w:r>
      <w:r w:rsidR="00CA7A9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рік:</w:t>
      </w:r>
    </w:p>
    <w:p w:rsidR="00CA7A90" w:rsidRPr="00D86A0E" w:rsidRDefault="00CA7A90" w:rsidP="00CA7A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0" w:name="n22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E14C9A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68 599 904,56</w:t>
      </w:r>
      <w:r w:rsidRPr="00C6336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6</w:t>
      </w:r>
      <w:r w:rsidR="00E14C9A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7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 </w:t>
      </w:r>
      <w:r w:rsidR="00E14C9A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500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E14C9A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300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,00</w:t>
      </w:r>
      <w:r w:rsidRPr="008C5A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E14C9A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1 099 604,56</w:t>
      </w:r>
      <w:r w:rsidRPr="008C5A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:rsidR="00CA7A90" w:rsidRPr="009406CC" w:rsidRDefault="00CA7A90" w:rsidP="009406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bookmarkStart w:id="1" w:name="n23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9406CC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86 900 004,56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9406CC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85 800 400,00</w:t>
      </w:r>
      <w:r w:rsidRPr="008C5A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9406CC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1 099 604,56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CA7A90" w:rsidRDefault="00CA7A90" w:rsidP="00CA7A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9406CC"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18 300 100,00</w:t>
      </w:r>
      <w:r w:rsidRPr="008C5A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:rsidR="00CA7A90" w:rsidRDefault="00CA7A90" w:rsidP="00CA7A9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="004B26C7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6750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CA7A90" w:rsidRDefault="00CA7A90" w:rsidP="00CA7A9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A7A90" w:rsidRPr="006F3A86" w:rsidRDefault="00CA7A90" w:rsidP="00CA7A9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4B26C7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</w:t>
      </w:r>
      <w:r w:rsidR="004B26C7">
        <w:rPr>
          <w:rFonts w:ascii="Times New Roman" w:hAnsi="Times New Roman" w:cs="Times New Roman"/>
          <w:sz w:val="28"/>
          <w:szCs w:val="28"/>
        </w:rPr>
        <w:t xml:space="preserve"> 18 грудня 2023</w:t>
      </w:r>
      <w:r>
        <w:rPr>
          <w:rFonts w:ascii="Times New Roman" w:hAnsi="Times New Roman" w:cs="Times New Roman"/>
          <w:sz w:val="28"/>
          <w:szCs w:val="28"/>
        </w:rPr>
        <w:t xml:space="preserve"> року викласти у наступній редакції:</w:t>
      </w:r>
    </w:p>
    <w:p w:rsidR="00CA7A90" w:rsidRDefault="00CA7A90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</w:t>
      </w:r>
      <w:r w:rsidR="004B26C7">
        <w:rPr>
          <w:rFonts w:ascii="Times New Roman" w:hAnsi="Times New Roman" w:cs="Times New Roman"/>
          <w:sz w:val="28"/>
          <w:szCs w:val="28"/>
        </w:rPr>
        <w:t>коштів місцевого бюджету на 2024</w:t>
      </w:r>
      <w:r>
        <w:rPr>
          <w:rFonts w:ascii="Times New Roman" w:hAnsi="Times New Roman" w:cs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додатком 3, до цього рішення». </w:t>
      </w:r>
    </w:p>
    <w:p w:rsidR="00CA7A90" w:rsidRDefault="00CA7A90" w:rsidP="00CA7A90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4B26C7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B26C7">
        <w:rPr>
          <w:rFonts w:ascii="Times New Roman" w:hAnsi="Times New Roman" w:cs="Times New Roman"/>
          <w:sz w:val="28"/>
          <w:szCs w:val="28"/>
        </w:rPr>
        <w:t>від 18 грудня 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CA7A90" w:rsidRDefault="004B26C7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2024</w:t>
      </w:r>
      <w:r w:rsidR="00CA7A90">
        <w:rPr>
          <w:rFonts w:ascii="Times New Roman" w:hAnsi="Times New Roman" w:cs="Times New Roman"/>
          <w:sz w:val="28"/>
          <w:szCs w:val="28"/>
        </w:rPr>
        <w:t xml:space="preserve"> рік міжбюджетні трансферти згідно з додатком 5 до цього рішення».</w:t>
      </w:r>
    </w:p>
    <w:p w:rsidR="00CA7A90" w:rsidRDefault="00CA7A90" w:rsidP="00CA7A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4B26C7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B26C7">
        <w:rPr>
          <w:rFonts w:ascii="Times New Roman" w:hAnsi="Times New Roman" w:cs="Times New Roman"/>
          <w:sz w:val="28"/>
          <w:szCs w:val="28"/>
        </w:rPr>
        <w:t>від 18 грудня 2023</w:t>
      </w:r>
      <w:r>
        <w:rPr>
          <w:rFonts w:ascii="Times New Roman" w:hAnsi="Times New Roman" w:cs="Times New Roman"/>
          <w:sz w:val="28"/>
          <w:szCs w:val="28"/>
        </w:rPr>
        <w:t xml:space="preserve"> року викласти у наступній редакції:</w:t>
      </w:r>
    </w:p>
    <w:p w:rsidR="00CA7A90" w:rsidRDefault="00CA7A90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67780A" w:rsidRPr="00FE2429">
        <w:rPr>
          <w:rFonts w:ascii="Times New Roman" w:hAnsi="Times New Roman" w:cs="Times New Roman"/>
          <w:b/>
          <w:sz w:val="28"/>
          <w:szCs w:val="28"/>
        </w:rPr>
        <w:t xml:space="preserve">20 027 900,00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:rsidR="00CA7A90" w:rsidRDefault="00CA7A90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4B26C7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B26C7">
        <w:rPr>
          <w:rFonts w:ascii="Times New Roman" w:hAnsi="Times New Roman" w:cs="Times New Roman"/>
          <w:sz w:val="28"/>
          <w:szCs w:val="28"/>
        </w:rPr>
        <w:t>від 18 грудня 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CA7A90" w:rsidRDefault="00CA7A90" w:rsidP="00CA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CA7A90" w:rsidRDefault="00CA7A90" w:rsidP="00CA7A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CA7A90" w:rsidRPr="00152756" w:rsidRDefault="00CA7A90" w:rsidP="00CA7A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CA7A90" w:rsidRDefault="00CA7A90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7A90" w:rsidRDefault="00CA7A90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6C7" w:rsidRDefault="004B26C7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5D2" w:rsidRDefault="00AD55D2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5D2" w:rsidRDefault="00AD55D2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6C7" w:rsidRDefault="004B26C7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6C7" w:rsidRDefault="004B26C7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7A90" w:rsidRDefault="00CA7A90" w:rsidP="00CA7A90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CA7A90" w:rsidRPr="00AD55D2" w:rsidRDefault="00CA7A90" w:rsidP="00CA7A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_________ 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№</w:t>
      </w:r>
      <w:r w:rsidR="00AD5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/  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___</w:t>
      </w:r>
      <w:r w:rsidRPr="003735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_____2024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</w:t>
      </w:r>
      <w:r w:rsidR="00AD55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ї територіальної громади на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D55D2">
        <w:rPr>
          <w:rFonts w:ascii="Times New Roman" w:hAnsi="Times New Roman" w:cs="Times New Roman"/>
          <w:b/>
          <w:sz w:val="28"/>
          <w:szCs w:val="28"/>
        </w:rPr>
        <w:t>від 1</w:t>
      </w:r>
      <w:r w:rsidR="00AA3984">
        <w:rPr>
          <w:rFonts w:ascii="Times New Roman" w:hAnsi="Times New Roman" w:cs="Times New Roman"/>
          <w:b/>
          <w:sz w:val="28"/>
          <w:szCs w:val="28"/>
        </w:rPr>
        <w:t>8 грудня 2023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(зі змінами)</w:t>
      </w:r>
    </w:p>
    <w:p w:rsidR="00CA7A90" w:rsidRDefault="00CA7A90" w:rsidP="00CA7A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</w:t>
      </w:r>
      <w:r w:rsidR="00AA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забезпечення  видатків в частині соціальних виплат </w:t>
      </w:r>
      <w:r w:rsidR="00E1606A">
        <w:rPr>
          <w:rFonts w:ascii="Times New Roman" w:hAnsi="Times New Roman" w:cs="Times New Roman"/>
          <w:color w:val="000000" w:themeColor="text1"/>
          <w:sz w:val="28"/>
          <w:szCs w:val="28"/>
        </w:rPr>
        <w:t>(заробітна плата , нарахування на заробітну плату, соціальне забезпечення) та продуктів</w:t>
      </w:r>
      <w:r w:rsidR="00AA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харчування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 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AA3984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A3984">
        <w:rPr>
          <w:rFonts w:ascii="Times New Roman" w:hAnsi="Times New Roman" w:cs="Times New Roman"/>
          <w:sz w:val="28"/>
          <w:szCs w:val="28"/>
        </w:rPr>
        <w:t>від 18 грудня 2023</w:t>
      </w:r>
      <w:r w:rsidRPr="00CB594F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731" w:rsidRDefault="00406731" w:rsidP="0040673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1.Збільшити кошторисні призначення за рахунок  розподілу вільного залишку бюджетних коштів, який</w:t>
      </w:r>
      <w:r w:rsidR="00582DCA">
        <w:rPr>
          <w:rFonts w:ascii="Times New Roman" w:hAnsi="Times New Roman"/>
          <w:sz w:val="28"/>
          <w:szCs w:val="28"/>
          <w:lang w:val="uk-UA"/>
        </w:rPr>
        <w:t xml:space="preserve"> склався</w:t>
      </w:r>
      <w:r>
        <w:rPr>
          <w:rFonts w:ascii="Times New Roman" w:hAnsi="Times New Roman"/>
          <w:sz w:val="28"/>
          <w:szCs w:val="28"/>
          <w:lang w:val="uk-UA"/>
        </w:rPr>
        <w:t xml:space="preserve"> на рахунку загального фонду селищного бюджету станом на 01 січня 2024 року в суму 17 000 100,00 грн., а саме:</w:t>
      </w:r>
    </w:p>
    <w:p w:rsidR="00406731" w:rsidRDefault="00406731" w:rsidP="004067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</w:t>
      </w:r>
      <w:r w:rsid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1 131 000,00 </w:t>
      </w:r>
      <w:proofErr w:type="spellStart"/>
      <w:r w:rsidR="00582DCA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249 000,00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300 000,00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70 000,00 грн.</w:t>
      </w: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(для недопущення кредиторської заборгованості  по оплаті праці)</w:t>
      </w:r>
      <w:r w:rsidRPr="0058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74 000,00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19 000,00 грн.</w:t>
      </w: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515 000,00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116 000,00 грн.</w:t>
      </w: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224300,00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49300,00 грн.</w:t>
      </w: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F02ABD">
        <w:rPr>
          <w:rFonts w:ascii="Times New Roman" w:hAnsi="Times New Roman" w:cs="Times New Roman"/>
          <w:sz w:val="28"/>
          <w:szCs w:val="28"/>
        </w:rPr>
        <w:t>0611080</w:t>
      </w:r>
      <w:r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349900,00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77000,00 грн.</w:t>
      </w:r>
    </w:p>
    <w:p w:rsidR="00582DCA" w:rsidRDefault="00582DCA" w:rsidP="00E14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«Надання загальної середньої освіти закладами загальної середньої освіти за рахунок коштів місцевого бюджету»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4 322 200,00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951 200,00 сумі грн.</w:t>
      </w:r>
      <w:r w:rsidR="00E14C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14C9A"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C9A">
        <w:rPr>
          <w:rFonts w:ascii="Times New Roman" w:hAnsi="Times New Roman" w:cs="Times New Roman"/>
          <w:color w:val="000000" w:themeColor="text1"/>
          <w:sz w:val="28"/>
          <w:szCs w:val="28"/>
        </w:rPr>
        <w:t>», КЕКВ 2230 «</w:t>
      </w:r>
      <w:r w:rsidR="00E14C9A"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E14C9A">
        <w:rPr>
          <w:rFonts w:ascii="Times New Roman" w:hAnsi="Times New Roman" w:cs="Times New Roman"/>
          <w:color w:val="000000" w:themeColor="text1"/>
          <w:sz w:val="28"/>
          <w:szCs w:val="28"/>
        </w:rPr>
        <w:t>» в сумі 5 600 000,00 грн.</w:t>
      </w:r>
    </w:p>
    <w:p w:rsidR="005E4318" w:rsidRDefault="00582DCA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E4318"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="005E4318"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="005E4318"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="005E4318" w:rsidRPr="0027642D">
        <w:rPr>
          <w:rFonts w:ascii="Times New Roman" w:hAnsi="Times New Roman" w:cs="Times New Roman"/>
          <w:sz w:val="28"/>
          <w:szCs w:val="28"/>
        </w:rPr>
        <w:t>»</w:t>
      </w:r>
      <w:r w:rsidR="005E4318"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="005E4318"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173 400,00 </w:t>
      </w:r>
      <w:proofErr w:type="spellStart"/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="005E4318"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318">
        <w:rPr>
          <w:rFonts w:ascii="Times New Roman" w:hAnsi="Times New Roman" w:cs="Times New Roman"/>
          <w:color w:val="000000" w:themeColor="text1"/>
          <w:sz w:val="28"/>
          <w:szCs w:val="28"/>
        </w:rPr>
        <w:t>38 100,00 грн.</w:t>
      </w: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224 200,00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49 400 грн.</w:t>
      </w: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42 000,00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9 200,00 грн.</w:t>
      </w: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181 300,00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39 900,00 грн.</w:t>
      </w: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378 000,00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83 200,00 грн.</w:t>
      </w:r>
    </w:p>
    <w:p w:rsidR="00E14C9A" w:rsidRDefault="00E14C9A" w:rsidP="00E14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14C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КПКВ </w:t>
      </w:r>
      <w:r w:rsidRPr="00E14C9A">
        <w:rPr>
          <w:rStyle w:val="a6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3710160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"Керівництво і управління у відповідній сфері у містах (місті Києві), селищах, селах, територіальних громадах»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132 800,00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bookmarkStart w:id="4" w:name="_GoBack"/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AC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29 100,00 грн.</w:t>
      </w:r>
    </w:p>
    <w:p w:rsidR="009406CC" w:rsidRDefault="009406CC" w:rsidP="009406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4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</w:t>
      </w:r>
      <w:r w:rsidR="001B190F">
        <w:rPr>
          <w:rFonts w:ascii="Times New Roman" w:hAnsi="Times New Roman" w:cs="Times New Roman"/>
          <w:color w:val="000000" w:themeColor="text1"/>
          <w:sz w:val="28"/>
          <w:szCs w:val="28"/>
        </w:rPr>
        <w:t>система зберігання енергії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</w:t>
      </w:r>
      <w:r w:rsidR="001B190F">
        <w:rPr>
          <w:rFonts w:ascii="Times New Roman" w:hAnsi="Times New Roman" w:cs="Times New Roman"/>
          <w:color w:val="000000" w:themeColor="text1"/>
          <w:sz w:val="28"/>
          <w:szCs w:val="28"/>
        </w:rPr>
        <w:t>№1 від 28.12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.2023 року, а саме:</w:t>
      </w:r>
    </w:p>
    <w:p w:rsidR="009406CC" w:rsidRDefault="009406CC" w:rsidP="00E14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381394,06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  по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3110 «Придбання обладнання i </w:t>
      </w:r>
      <w:proofErr w:type="spellStart"/>
      <w:r w:rsidRPr="009406CC">
        <w:rPr>
          <w:rFonts w:ascii="Times New Roman" w:hAnsi="Times New Roman" w:cs="Times New Roman"/>
          <w:color w:val="000000"/>
          <w:sz w:val="28"/>
          <w:szCs w:val="28"/>
        </w:rPr>
        <w:t>предметiв</w:t>
      </w:r>
      <w:proofErr w:type="spellEnd"/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довгострокового користування» в сумі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381 394,06 грн.</w:t>
      </w:r>
    </w:p>
    <w:p w:rsidR="001B190F" w:rsidRDefault="001B190F" w:rsidP="001B1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B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(миючі засоби)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23.01.2024 року, а саме:</w:t>
      </w:r>
    </w:p>
    <w:p w:rsidR="005E4318" w:rsidRPr="009406CC" w:rsidRDefault="001B190F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1210,50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2210  «Предмети, матеріали, обладнання та інвентар» в сумі  1210,5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4318" w:rsidRPr="00E14C9A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318" w:rsidRPr="005E4318" w:rsidRDefault="005E4318" w:rsidP="005E43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582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CA" w:rsidRDefault="00582DCA" w:rsidP="004067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731" w:rsidRPr="00406731" w:rsidRDefault="00406731" w:rsidP="0040673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06731" w:rsidRPr="0040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24A"/>
    <w:multiLevelType w:val="multilevel"/>
    <w:tmpl w:val="6F488B6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CD869F7"/>
    <w:multiLevelType w:val="hybridMultilevel"/>
    <w:tmpl w:val="2432026E"/>
    <w:lvl w:ilvl="0" w:tplc="B1DA7DEC">
      <w:numFmt w:val="bullet"/>
      <w:lvlText w:val="-"/>
      <w:lvlJc w:val="left"/>
      <w:pPr>
        <w:ind w:left="104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">
    <w:nsid w:val="4B6C334B"/>
    <w:multiLevelType w:val="hybridMultilevel"/>
    <w:tmpl w:val="098A3D8C"/>
    <w:lvl w:ilvl="0" w:tplc="F7341D58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2D"/>
    <w:rsid w:val="000F3A2D"/>
    <w:rsid w:val="001B190F"/>
    <w:rsid w:val="00406731"/>
    <w:rsid w:val="004B26C7"/>
    <w:rsid w:val="004F471A"/>
    <w:rsid w:val="00582DCA"/>
    <w:rsid w:val="005E4318"/>
    <w:rsid w:val="0067780A"/>
    <w:rsid w:val="008C5A61"/>
    <w:rsid w:val="009406CC"/>
    <w:rsid w:val="00AA3984"/>
    <w:rsid w:val="00AC5363"/>
    <w:rsid w:val="00AD55D2"/>
    <w:rsid w:val="00B71AB5"/>
    <w:rsid w:val="00C974FB"/>
    <w:rsid w:val="00CA7A90"/>
    <w:rsid w:val="00E14C9A"/>
    <w:rsid w:val="00E1606A"/>
    <w:rsid w:val="00F94620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7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7A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A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A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qFormat/>
    <w:rsid w:val="004B26C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Emphasis"/>
    <w:basedOn w:val="a0"/>
    <w:uiPriority w:val="20"/>
    <w:qFormat/>
    <w:rsid w:val="00E14C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7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7A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A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A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qFormat/>
    <w:rsid w:val="004B26C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Emphasis"/>
    <w:basedOn w:val="a0"/>
    <w:uiPriority w:val="20"/>
    <w:qFormat/>
    <w:rsid w:val="00E14C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2910-C589-4D0B-991A-362DA85B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5859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2024-02-19T12:59:00Z</cp:lastPrinted>
  <dcterms:created xsi:type="dcterms:W3CDTF">2024-02-16T13:24:00Z</dcterms:created>
  <dcterms:modified xsi:type="dcterms:W3CDTF">2024-02-19T12:59:00Z</dcterms:modified>
</cp:coreProperties>
</file>