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592C5" w14:textId="77777777" w:rsidR="00A22463" w:rsidRDefault="00A22463" w:rsidP="00A224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7AAD9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6" o:title=""/>
          </v:shape>
          <o:OLEObject Type="Embed" ProgID="Word.Picture.6" ShapeID="_x0000_i1025" DrawAspect="Content" ObjectID="_1777901550" r:id="rId7"/>
        </w:object>
      </w:r>
    </w:p>
    <w:p w14:paraId="180C92C5" w14:textId="77777777" w:rsidR="00A22463" w:rsidRDefault="00A22463" w:rsidP="00A22463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35674524" w14:textId="77777777" w:rsidR="00A22463" w:rsidRDefault="00A22463" w:rsidP="00A224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5D44B0C" w14:textId="77777777" w:rsidR="00A22463" w:rsidRDefault="00A22463" w:rsidP="00A22463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C4FE473" w14:textId="77777777" w:rsidR="00A22463" w:rsidRDefault="00A22463" w:rsidP="00A224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2FFBE87E" w14:textId="77777777" w:rsidR="00A22463" w:rsidRDefault="00A22463" w:rsidP="00A22463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E130602" w14:textId="77777777" w:rsidR="00A22463" w:rsidRDefault="00A22463" w:rsidP="00A22463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ADA6B91" w14:textId="77777777" w:rsidR="00A22463" w:rsidRDefault="00A22463" w:rsidP="00A2246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85D88CB" w14:textId="6B319343" w:rsidR="00A22463" w:rsidRDefault="00A22463" w:rsidP="00A2246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C21D4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1163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7F18C34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70BE1" w14:textId="77777777"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F132DA">
              <w:rPr>
                <w:rFonts w:ascii="Times New Roman" w:hAnsi="Times New Roman" w:cs="Times New Roman"/>
                <w:b/>
                <w:sz w:val="28"/>
                <w:lang w:val="uk-UA"/>
              </w:rPr>
              <w:t>ункту с. Святі Гори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55C4EF2F" w14:textId="77777777" w:rsidR="00A22463" w:rsidRDefault="00A22463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2369952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94A0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48B01CF" w14:textId="1BF28965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інформацію начальника відділу земельних відносин</w:t>
      </w:r>
      <w:r w:rsidR="00A22463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A22463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населеного пункту  с. Святі Гори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району Чернігівської області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3D12E7B" w14:textId="3A80E95C" w:rsidR="00C107CA" w:rsidRPr="00A22463" w:rsidRDefault="00A22463" w:rsidP="00A224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A2246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 w:rsidRPr="00A22463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</w:p>
    <w:p w14:paraId="0AF0D4B7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1D3484" w14:textId="421011F2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 xml:space="preserve">ункту  </w:t>
      </w:r>
      <w:proofErr w:type="spellStart"/>
      <w:r w:rsidR="00F132DA">
        <w:rPr>
          <w:rFonts w:ascii="Times New Roman" w:hAnsi="Times New Roman" w:cs="Times New Roman"/>
          <w:sz w:val="28"/>
          <w:szCs w:val="28"/>
          <w:lang w:val="uk-UA"/>
        </w:rPr>
        <w:t>с.Святі</w:t>
      </w:r>
      <w:proofErr w:type="spellEnd"/>
      <w:r w:rsidR="00F132DA">
        <w:rPr>
          <w:rFonts w:ascii="Times New Roman" w:hAnsi="Times New Roman" w:cs="Times New Roman"/>
          <w:sz w:val="28"/>
          <w:szCs w:val="28"/>
          <w:lang w:val="uk-UA"/>
        </w:rPr>
        <w:t xml:space="preserve"> Гори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призначення, земель промисловості, транспорту, зв’язку, енергетики,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14:paraId="7F748317" w14:textId="77777777"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D61313" w14:textId="77777777"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законодавства.</w:t>
      </w:r>
    </w:p>
    <w:p w14:paraId="36A69459" w14:textId="7D8D52C4"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 xml:space="preserve">ки земель </w:t>
      </w:r>
      <w:proofErr w:type="spellStart"/>
      <w:r w:rsidR="00F132DA">
        <w:rPr>
          <w:rFonts w:ascii="Times New Roman" w:hAnsi="Times New Roman" w:cs="Times New Roman"/>
          <w:sz w:val="28"/>
          <w:szCs w:val="28"/>
          <w:lang w:val="uk-UA"/>
        </w:rPr>
        <w:t>с.Святі</w:t>
      </w:r>
      <w:proofErr w:type="spellEnd"/>
      <w:r w:rsidR="00F132DA">
        <w:rPr>
          <w:rFonts w:ascii="Times New Roman" w:hAnsi="Times New Roman" w:cs="Times New Roman"/>
          <w:sz w:val="28"/>
          <w:szCs w:val="28"/>
          <w:lang w:val="uk-UA"/>
        </w:rPr>
        <w:t xml:space="preserve"> Гори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01.01.2025року.</w:t>
      </w:r>
    </w:p>
    <w:p w14:paraId="2F95E90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18C0EE" w14:textId="77777777"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1AE1DB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B6B23F" w14:textId="5C61FDC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A2246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EE100A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71557">
    <w:abstractNumId w:val="3"/>
  </w:num>
  <w:num w:numId="2" w16cid:durableId="1620526603">
    <w:abstractNumId w:val="4"/>
  </w:num>
  <w:num w:numId="3" w16cid:durableId="2005427826">
    <w:abstractNumId w:val="1"/>
  </w:num>
  <w:num w:numId="4" w16cid:durableId="61561633">
    <w:abstractNumId w:val="2"/>
  </w:num>
  <w:num w:numId="5" w16cid:durableId="7832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01A56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2463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1D4E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3163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8B4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E399-1F1A-41B6-81EB-36A8A427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2024-05-22T13:46:00Z</cp:lastPrinted>
  <dcterms:created xsi:type="dcterms:W3CDTF">2024-04-11T09:29:00Z</dcterms:created>
  <dcterms:modified xsi:type="dcterms:W3CDTF">2024-05-22T13:46:00Z</dcterms:modified>
</cp:coreProperties>
</file>