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FAB1" w14:textId="7BC028B3" w:rsidR="00DA472B" w:rsidRDefault="00E5589F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1ED70AE" w14:textId="586A823B" w:rsidR="00E5589F" w:rsidRDefault="00E5589F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сорокової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</w:p>
    <w:p w14:paraId="78A77BA2" w14:textId="70FF9064" w:rsidR="00F6433E" w:rsidRDefault="00DD74E4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6433E">
        <w:rPr>
          <w:sz w:val="28"/>
          <w:szCs w:val="28"/>
          <w:lang w:val="uk-UA"/>
        </w:rPr>
        <w:t>27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0DF2C8B5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F6433E">
        <w:rPr>
          <w:color w:val="000000"/>
          <w:sz w:val="28"/>
          <w:szCs w:val="28"/>
          <w:lang w:val="uk-UA"/>
        </w:rPr>
        <w:t>1223/40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59A59FA" w14:textId="77777777" w:rsidR="00DA472B" w:rsidRPr="00CB0BCD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B0BCD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 </w:t>
      </w:r>
    </w:p>
    <w:p w14:paraId="5D7A75EE" w14:textId="77777777" w:rsidR="00DA472B" w:rsidRPr="00CB0BCD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0BC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0BCD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 офіцер громади» </w:t>
      </w:r>
    </w:p>
    <w:p w14:paraId="3E0B0873" w14:textId="4273320A" w:rsidR="00DA472B" w:rsidRPr="00DD74E4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0BCD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0BCD">
        <w:rPr>
          <w:rFonts w:ascii="Times New Roman" w:hAnsi="Times New Roman"/>
          <w:b/>
          <w:sz w:val="28"/>
          <w:szCs w:val="28"/>
        </w:rPr>
        <w:t>р</w:t>
      </w:r>
      <w:proofErr w:type="spellStart"/>
      <w:r w:rsidR="00DD74E4">
        <w:rPr>
          <w:rFonts w:ascii="Times New Roman" w:hAnsi="Times New Roman"/>
          <w:b/>
          <w:sz w:val="28"/>
          <w:szCs w:val="28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FDB2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0FB1A7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1F3BD2" w14:textId="77777777" w:rsidR="00DA472B" w:rsidRDefault="00DA472B" w:rsidP="00DA472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056915F2" w:rsidR="00DA472B" w:rsidRDefault="00DD74E4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</w:p>
    <w:p w14:paraId="6A6F430F" w14:textId="426C252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496C85DE" w14:textId="77777777" w:rsidR="00DA472B" w:rsidRDefault="00DA472B" w:rsidP="00DA472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358734F" w14:textId="77777777" w:rsidR="00DA472B" w:rsidRPr="00060EAF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lastRenderedPageBreak/>
        <w:t>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43092904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травня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535A7846" w:rsidR="00DA472B" w:rsidRPr="00060EAF" w:rsidRDefault="00DD74E4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509519A9" w:rsidR="00DA472B" w:rsidRPr="00FE48DE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58883F74" w:rsidR="00DA472B" w:rsidRPr="00FE48DE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000 грн</w:t>
            </w: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proofErr w:type="gram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2EA0C46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A83">
        <w:rPr>
          <w:rFonts w:ascii="Times New Roman" w:hAnsi="Times New Roman"/>
          <w:sz w:val="28"/>
          <w:szCs w:val="28"/>
        </w:rPr>
        <w:t>У 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територіальної  громади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lastRenderedPageBreak/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lastRenderedPageBreak/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proofErr w:type="gram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proofErr w:type="gram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грн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77777777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169B020A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647BDB2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FF57A1E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3B278A66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4D115EC2" w:rsidR="00A355C2" w:rsidRPr="00DA472B" w:rsidRDefault="00B327F4" w:rsidP="00B32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Селищний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 xml:space="preserve"> голова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3429F2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>Володимир ПАВЛЕНКО</w:t>
      </w:r>
    </w:p>
    <w:sectPr w:rsidR="00A355C2" w:rsidRPr="00DA472B" w:rsidSect="00B327F4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01C46" w14:textId="77777777" w:rsidR="00063A32" w:rsidRDefault="00063A32">
      <w:pPr>
        <w:spacing w:after="0" w:line="240" w:lineRule="auto"/>
      </w:pPr>
      <w:r>
        <w:separator/>
      </w:r>
    </w:p>
  </w:endnote>
  <w:endnote w:type="continuationSeparator" w:id="0">
    <w:p w14:paraId="6A5DAAEE" w14:textId="77777777" w:rsidR="00063A32" w:rsidRDefault="0006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7D78C" w14:textId="77777777" w:rsidR="00063A32" w:rsidRDefault="00063A32">
      <w:pPr>
        <w:spacing w:after="0" w:line="240" w:lineRule="auto"/>
      </w:pPr>
      <w:r>
        <w:separator/>
      </w:r>
    </w:p>
  </w:footnote>
  <w:footnote w:type="continuationSeparator" w:id="0">
    <w:p w14:paraId="0968E58A" w14:textId="77777777" w:rsidR="00063A32" w:rsidRDefault="0006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680652"/>
      <w:docPartObj>
        <w:docPartGallery w:val="Page Numbers (Top of Page)"/>
        <w:docPartUnique/>
      </w:docPartObj>
    </w:sdtPr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6777139">
    <w:abstractNumId w:val="1"/>
  </w:num>
  <w:num w:numId="2" w16cid:durableId="646858067">
    <w:abstractNumId w:val="2"/>
  </w:num>
  <w:num w:numId="3" w16cid:durableId="1889340629">
    <w:abstractNumId w:val="3"/>
  </w:num>
  <w:num w:numId="4" w16cid:durableId="102513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718"/>
    <w:rsid w:val="00063A32"/>
    <w:rsid w:val="00095C84"/>
    <w:rsid w:val="003429F2"/>
    <w:rsid w:val="003B5F2E"/>
    <w:rsid w:val="00604757"/>
    <w:rsid w:val="009A4FC4"/>
    <w:rsid w:val="00A355C2"/>
    <w:rsid w:val="00B327F4"/>
    <w:rsid w:val="00CA6718"/>
    <w:rsid w:val="00CF6371"/>
    <w:rsid w:val="00DA472B"/>
    <w:rsid w:val="00DD74E4"/>
    <w:rsid w:val="00E5589F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CB51D7BE-902E-428E-B94C-72A2176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5401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Usher</cp:lastModifiedBy>
  <cp:revision>7</cp:revision>
  <cp:lastPrinted>2024-09-02T08:59:00Z</cp:lastPrinted>
  <dcterms:created xsi:type="dcterms:W3CDTF">2023-11-07T17:48:00Z</dcterms:created>
  <dcterms:modified xsi:type="dcterms:W3CDTF">2024-09-02T08:59:00Z</dcterms:modified>
</cp:coreProperties>
</file>