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54F7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AA7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 xml:space="preserve">  </w:t>
      </w:r>
      <w:bookmarkStart w:id="0" w:name="_Hlk176170663"/>
      <w:bookmarkStart w:id="1" w:name="_Hlk165275507"/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 w14:anchorId="00D31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824887121" r:id="rId8"/>
        </w:object>
      </w:r>
    </w:p>
    <w:p w14:paraId="08E35609" w14:textId="77777777" w:rsidR="00E456C8" w:rsidRPr="00DE6AA7" w:rsidRDefault="00E456C8" w:rsidP="00E45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14:paraId="14684F18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0AF0B90" w14:textId="77777777" w:rsidR="00E456C8" w:rsidRPr="00DE6AA7" w:rsidRDefault="00E456C8" w:rsidP="00E456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65B3D7F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05531519" w14:textId="77777777" w:rsidR="00E456C8" w:rsidRPr="00DE6AA7" w:rsidRDefault="00E456C8" w:rsidP="00E4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5F5D047F" w14:textId="77777777" w:rsidR="00E456C8" w:rsidRPr="00DE6AA7" w:rsidRDefault="00E456C8" w:rsidP="00E45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14:paraId="0E82609E" w14:textId="77777777" w:rsidR="00E456C8" w:rsidRPr="00DE6AA7" w:rsidRDefault="00E456C8" w:rsidP="00E456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AC15721" w14:textId="451B0C83" w:rsidR="00E456C8" w:rsidRPr="00873EC9" w:rsidRDefault="00E456C8" w:rsidP="00E45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листопада </w:t>
      </w:r>
      <w:r w:rsidR="007C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</w:p>
    <w:p w14:paraId="26385CA4" w14:textId="77777777" w:rsidR="00E456C8" w:rsidRPr="00DD0D97" w:rsidRDefault="00E456C8" w:rsidP="00E456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5B46B646" w14:textId="77777777" w:rsidR="00E456C8" w:rsidRDefault="00E456C8" w:rsidP="00E456C8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погодженя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2CB8C32" w14:textId="77777777" w:rsidR="00E456C8" w:rsidRPr="00DD0D97" w:rsidRDefault="00E456C8" w:rsidP="00E456C8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громади»</w:t>
      </w:r>
    </w:p>
    <w:p w14:paraId="15CE422B" w14:textId="38899FD3" w:rsidR="00E456C8" w:rsidRPr="00DD0D97" w:rsidRDefault="00E456C8" w:rsidP="00E456C8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</w:t>
      </w:r>
      <w:r w:rsidR="00936B60">
        <w:rPr>
          <w:b/>
          <w:bCs/>
          <w:color w:val="000000"/>
          <w:sz w:val="28"/>
          <w:szCs w:val="28"/>
          <w:lang w:val="uk-UA"/>
        </w:rPr>
        <w:t>6</w:t>
      </w:r>
      <w:r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24CD2398" w14:textId="77777777" w:rsidR="00E456C8" w:rsidRPr="00DD0D97" w:rsidRDefault="00E456C8" w:rsidP="00E456C8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6CDB4BFE" w14:textId="77777777" w:rsidR="00E456C8" w:rsidRPr="00DD0D97" w:rsidRDefault="00E456C8" w:rsidP="00E456C8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проекту «Поліцейський офіцер громади»,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33FF3DF2" w14:textId="77777777" w:rsidR="00E456C8" w:rsidRPr="00DD0D97" w:rsidRDefault="00E456C8" w:rsidP="00E456C8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61F82B54" w14:textId="77777777" w:rsidR="00E456C8" w:rsidRPr="00DD0D97" w:rsidRDefault="00E456C8" w:rsidP="00E456C8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08A31B1F" w14:textId="781333CF" w:rsidR="00E456C8" w:rsidRPr="00DD0D97" w:rsidRDefault="00E456C8" w:rsidP="00E456C8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1.Погодити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громади»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</w:t>
      </w:r>
      <w:r w:rsidR="007C68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7454336C" w14:textId="77777777" w:rsidR="00E456C8" w:rsidRPr="00DD0D97" w:rsidRDefault="00E456C8" w:rsidP="00E456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proofErr w:type="spellStart"/>
      <w:r w:rsidRPr="00DD0D97">
        <w:rPr>
          <w:rFonts w:ascii="Times New Roman" w:hAnsi="Times New Roman"/>
          <w:sz w:val="28"/>
        </w:rPr>
        <w:t>Головним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розпорядником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коштів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визначити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Березнянську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селищну</w:t>
      </w:r>
      <w:proofErr w:type="spellEnd"/>
      <w:r w:rsidRPr="00DD0D97">
        <w:rPr>
          <w:rFonts w:ascii="Times New Roman" w:hAnsi="Times New Roman"/>
          <w:sz w:val="28"/>
        </w:rPr>
        <w:t xml:space="preserve"> раду.</w:t>
      </w:r>
    </w:p>
    <w:p w14:paraId="5D45BB28" w14:textId="77777777" w:rsidR="00E456C8" w:rsidRPr="00DD0D97" w:rsidRDefault="00E456C8" w:rsidP="00E456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Фінансовому відділу Березнянської селищної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передбачити фінансування видатків на виконання заходів Програми</w:t>
      </w:r>
    </w:p>
    <w:p w14:paraId="5729D05C" w14:textId="77777777" w:rsidR="00E456C8" w:rsidRPr="002569F3" w:rsidRDefault="00E456C8" w:rsidP="00E456C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 w:rsidRPr="00DE6A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Контроль за виконанням цього рішення покласти на начальника фінансового відділу Ольгу РОМАНЧЕНКО.</w:t>
      </w:r>
    </w:p>
    <w:p w14:paraId="7A2B49A9" w14:textId="77777777" w:rsidR="00E456C8" w:rsidRPr="00DD0D97" w:rsidRDefault="00E456C8" w:rsidP="00E456C8">
      <w:pPr>
        <w:spacing w:after="0" w:line="240" w:lineRule="auto"/>
        <w:ind w:firstLine="708"/>
        <w:jc w:val="both"/>
      </w:pPr>
      <w:r w:rsidRPr="00DD0D97">
        <w:t> </w:t>
      </w:r>
    </w:p>
    <w:p w14:paraId="69B5DC57" w14:textId="77777777" w:rsidR="00E456C8" w:rsidRPr="00DD0D97" w:rsidRDefault="00E456C8" w:rsidP="00E456C8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00D2F0DE" w14:textId="77777777" w:rsidR="00E456C8" w:rsidRPr="00DD0D97" w:rsidRDefault="00E456C8" w:rsidP="00E456C8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DD0D97">
        <w:rPr>
          <w:b/>
          <w:bCs/>
          <w:color w:val="000000"/>
          <w:sz w:val="28"/>
          <w:szCs w:val="28"/>
        </w:rPr>
        <w:t>Селищний</w:t>
      </w:r>
      <w:proofErr w:type="spellEnd"/>
      <w:r w:rsidRPr="00DD0D97">
        <w:rPr>
          <w:b/>
          <w:bCs/>
          <w:color w:val="000000"/>
          <w:sz w:val="28"/>
          <w:szCs w:val="28"/>
        </w:rPr>
        <w:t>   голова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14:paraId="1AB44C09" w14:textId="240A70A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F90857E" w14:textId="265E0FE9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1952F05" w14:textId="53399055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62EB96" w14:textId="07F4D594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6B23A73" w14:textId="0E7923A6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85950EC" w14:textId="758261B8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25EBD6F1" w14:textId="63A1A235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AD8B01B" w14:textId="75E8E860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327B2A6" w14:textId="77777777" w:rsidR="00E456C8" w:rsidRDefault="00E456C8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92FACFE" w14:textId="17B951CF" w:rsidR="00E456C8" w:rsidRDefault="00E456C8" w:rsidP="00E456C8">
      <w:pPr>
        <w:pStyle w:val="a9"/>
        <w:spacing w:before="0" w:beforeAutospacing="0" w:after="0" w:afterAutospacing="0" w:line="274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 xml:space="preserve">                </w:t>
      </w:r>
      <w:r w:rsidR="00F6433E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F6433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</w:t>
      </w:r>
    </w:p>
    <w:p w14:paraId="7C99AB0E" w14:textId="1873E785" w:rsidR="00F6433E" w:rsidRDefault="00E456C8" w:rsidP="00E456C8">
      <w:pPr>
        <w:pStyle w:val="a9"/>
        <w:spacing w:before="0" w:beforeAutospacing="0" w:after="0" w:afterAutospacing="0" w:line="27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31859DBA" w14:textId="6D99882D" w:rsidR="00E456C8" w:rsidRPr="00E456C8" w:rsidRDefault="00E456C8" w:rsidP="00E456C8">
      <w:pPr>
        <w:pStyle w:val="a9"/>
        <w:spacing w:before="0" w:beforeAutospacing="0" w:after="0" w:afterAutospacing="0" w:line="274" w:lineRule="auto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від   листопада 2025 року №</w:t>
      </w:r>
    </w:p>
    <w:p w14:paraId="7FDC14FE" w14:textId="5D561B26" w:rsidR="00DA472B" w:rsidRDefault="00E456C8" w:rsidP="00E456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584C09">
        <w:rPr>
          <w:rFonts w:ascii="Times New Roman" w:hAnsi="Times New Roman"/>
          <w:b/>
          <w:sz w:val="40"/>
          <w:szCs w:val="40"/>
        </w:rPr>
        <w:t>Програма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Поліцейський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офіцер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громади» </w:t>
      </w:r>
    </w:p>
    <w:p w14:paraId="3E0B0873" w14:textId="65CD928D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A3453E">
        <w:rPr>
          <w:rFonts w:ascii="Times New Roman" w:hAnsi="Times New Roman"/>
          <w:b/>
          <w:sz w:val="40"/>
          <w:szCs w:val="40"/>
          <w:lang w:val="uk-UA"/>
        </w:rPr>
        <w:t>6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584C09">
        <w:rPr>
          <w:rFonts w:ascii="Times New Roman" w:hAnsi="Times New Roman"/>
          <w:b/>
          <w:sz w:val="40"/>
          <w:szCs w:val="40"/>
        </w:rPr>
        <w:t>р</w:t>
      </w:r>
      <w:proofErr w:type="spellStart"/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4BBF1B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EF53AA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966F8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051377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Pr="00A3453E" w:rsidRDefault="00DA472B" w:rsidP="00977E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A6F430F" w14:textId="2217C417" w:rsidR="00DA472B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2025</w:t>
      </w:r>
      <w:r w:rsidR="003F3A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04CA61DA" w14:textId="6318A436" w:rsidR="003F3A89" w:rsidRDefault="003F3A8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</w:p>
    <w:p w14:paraId="4360986A" w14:textId="77777777" w:rsidR="003F3A89" w:rsidRPr="00A3453E" w:rsidRDefault="003F3A8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</w:p>
    <w:p w14:paraId="61C2D279" w14:textId="77777777" w:rsidR="00977EA4" w:rsidRPr="00A3453E" w:rsidRDefault="00977EA4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громади»</w:t>
      </w:r>
    </w:p>
    <w:p w14:paraId="37DD7771" w14:textId="56065D13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>6</w:t>
      </w:r>
      <w:r w:rsidR="003F3A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4D2D8256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3F3A8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Загальний відділ Березнянської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ської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3B90B6FB" w:rsidR="00DA472B" w:rsidRPr="00060EAF" w:rsidRDefault="00A3453E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6858E672" w:rsidR="00DA472B" w:rsidRPr="00FE48DE" w:rsidRDefault="00A3453E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DD0D9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proofErr w:type="gram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1488C48F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A3453E">
        <w:rPr>
          <w:rFonts w:ascii="Times New Roman" w:hAnsi="Times New Roman"/>
          <w:sz w:val="28"/>
          <w:szCs w:val="28"/>
          <w:lang w:val="uk-UA"/>
        </w:rPr>
        <w:t>6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громади».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6A83">
        <w:rPr>
          <w:rFonts w:ascii="Times New Roman" w:hAnsi="Times New Roman"/>
          <w:sz w:val="28"/>
          <w:szCs w:val="28"/>
        </w:rPr>
        <w:t>У 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територіальної громади.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територіальної  громади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громади,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громади.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громади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60CE348C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громади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створення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громади;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може </w:t>
      </w:r>
      <w:proofErr w:type="spellStart"/>
      <w:r w:rsidRPr="00BF452B">
        <w:rPr>
          <w:rFonts w:ascii="Times New Roman" w:hAnsi="Times New Roman"/>
          <w:sz w:val="28"/>
          <w:szCs w:val="28"/>
          <w:lang w:val="uk-UA"/>
        </w:rPr>
        <w:t>здійснюватись</w:t>
      </w:r>
      <w:proofErr w:type="spellEnd"/>
      <w:r w:rsidRPr="00BF452B">
        <w:rPr>
          <w:rFonts w:ascii="Times New Roman" w:hAnsi="Times New Roman"/>
          <w:sz w:val="28"/>
          <w:szCs w:val="28"/>
          <w:lang w:val="uk-UA"/>
        </w:rPr>
        <w:t xml:space="preserve">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громади,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gramStart"/>
      <w:r w:rsidRPr="003E4E50">
        <w:rPr>
          <w:rFonts w:ascii="Times New Roman" w:hAnsi="Times New Roman"/>
          <w:b/>
          <w:bCs/>
          <w:sz w:val="28"/>
          <w:szCs w:val="28"/>
        </w:rPr>
        <w:t xml:space="preserve">виконанням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proofErr w:type="gram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549295E6" w:rsidR="00DA472B" w:rsidRPr="00A3453E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поточного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Березнянської селищної ради.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2BE79E47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993" w:type="dxa"/>
            <w:vAlign w:val="center"/>
          </w:tcPr>
          <w:p w14:paraId="03B4FD83" w14:textId="022D3B5E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5FD4DFF9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3A30CAFC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7F5A8E78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B61F" w14:textId="77777777" w:rsidR="00DC691B" w:rsidRDefault="00DC691B">
      <w:pPr>
        <w:spacing w:after="0" w:line="240" w:lineRule="auto"/>
      </w:pPr>
      <w:r>
        <w:separator/>
      </w:r>
    </w:p>
  </w:endnote>
  <w:endnote w:type="continuationSeparator" w:id="0">
    <w:p w14:paraId="21212285" w14:textId="77777777" w:rsidR="00DC691B" w:rsidRDefault="00DC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63DD" w14:textId="77777777" w:rsidR="00DC691B" w:rsidRDefault="00DC691B">
      <w:pPr>
        <w:spacing w:after="0" w:line="240" w:lineRule="auto"/>
      </w:pPr>
      <w:r>
        <w:separator/>
      </w:r>
    </w:p>
  </w:footnote>
  <w:footnote w:type="continuationSeparator" w:id="0">
    <w:p w14:paraId="3C1C3C83" w14:textId="77777777" w:rsidR="00DC691B" w:rsidRDefault="00DC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53E">
          <w:rPr>
            <w:noProof/>
          </w:rPr>
          <w:t>4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718"/>
    <w:rsid w:val="00063A32"/>
    <w:rsid w:val="00095C84"/>
    <w:rsid w:val="001705D8"/>
    <w:rsid w:val="001D5135"/>
    <w:rsid w:val="002D18A0"/>
    <w:rsid w:val="003429F2"/>
    <w:rsid w:val="00376D7B"/>
    <w:rsid w:val="003B5F2E"/>
    <w:rsid w:val="003F3A89"/>
    <w:rsid w:val="003F3B02"/>
    <w:rsid w:val="00481BCD"/>
    <w:rsid w:val="004D541A"/>
    <w:rsid w:val="004D785D"/>
    <w:rsid w:val="0058412B"/>
    <w:rsid w:val="00584C09"/>
    <w:rsid w:val="00604757"/>
    <w:rsid w:val="007A66DE"/>
    <w:rsid w:val="007C68E1"/>
    <w:rsid w:val="007D6269"/>
    <w:rsid w:val="00814443"/>
    <w:rsid w:val="0085626C"/>
    <w:rsid w:val="008D3E2B"/>
    <w:rsid w:val="00901725"/>
    <w:rsid w:val="00936B60"/>
    <w:rsid w:val="00977E78"/>
    <w:rsid w:val="00977EA4"/>
    <w:rsid w:val="009A4FC4"/>
    <w:rsid w:val="00A12AA6"/>
    <w:rsid w:val="00A3453E"/>
    <w:rsid w:val="00A355C2"/>
    <w:rsid w:val="00B327F4"/>
    <w:rsid w:val="00CA6718"/>
    <w:rsid w:val="00CF6371"/>
    <w:rsid w:val="00DA472B"/>
    <w:rsid w:val="00DC691B"/>
    <w:rsid w:val="00DD0D97"/>
    <w:rsid w:val="00DD74E4"/>
    <w:rsid w:val="00E456C8"/>
    <w:rsid w:val="00E5589F"/>
    <w:rsid w:val="00F13550"/>
    <w:rsid w:val="00F6433E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3236845E-EA10-4676-BB1B-694F354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6139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User</cp:lastModifiedBy>
  <cp:revision>7</cp:revision>
  <cp:lastPrinted>2025-11-17T10:18:00Z</cp:lastPrinted>
  <dcterms:created xsi:type="dcterms:W3CDTF">2025-11-17T10:02:00Z</dcterms:created>
  <dcterms:modified xsi:type="dcterms:W3CDTF">2025-11-17T10:18:00Z</dcterms:modified>
</cp:coreProperties>
</file>