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EA1C" w14:textId="77777777" w:rsidR="00271E43" w:rsidRDefault="0051341D" w:rsidP="0051341D">
      <w:pPr>
        <w:ind w:left="4248" w:firstLine="430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</w:p>
    <w:p w14:paraId="5FC3F2F6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4230931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noProof/>
          <w:kern w:val="1"/>
          <w:sz w:val="28"/>
          <w:szCs w:val="28"/>
          <w:lang w:val="uk-UA"/>
        </w:rPr>
      </w:pPr>
      <w:r w:rsidRPr="002A0A2D">
        <w:rPr>
          <w:rFonts w:eastAsia="Lucida Sans Unicode"/>
          <w:b/>
          <w:noProof/>
          <w:kern w:val="1"/>
          <w:sz w:val="28"/>
          <w:szCs w:val="28"/>
        </w:rPr>
        <w:drawing>
          <wp:inline distT="0" distB="0" distL="0" distR="0" wp14:anchorId="68420289" wp14:editId="47683DC7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C028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val="uk-UA" w:eastAsia="hi-IN" w:bidi="hi-IN"/>
        </w:rPr>
        <w:t>У К Р А Ї Н А</w:t>
      </w:r>
    </w:p>
    <w:p w14:paraId="5EE3A076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16"/>
          <w:szCs w:val="16"/>
          <w:lang w:val="uk-UA" w:eastAsia="hi-IN" w:bidi="hi-IN"/>
        </w:rPr>
      </w:pPr>
    </w:p>
    <w:p w14:paraId="5D8FB83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14:paraId="6D9AFEA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</w:p>
    <w:p w14:paraId="6E28435A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14:paraId="19ACC91C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</w:p>
    <w:p w14:paraId="14AC02ED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14:paraId="25F90A14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val="uk-UA" w:eastAsia="hi-IN" w:bidi="hi-IN"/>
        </w:rPr>
      </w:pPr>
    </w:p>
    <w:p w14:paraId="5E045BC8" w14:textId="77777777" w:rsidR="009365B2" w:rsidRPr="00D10BDE" w:rsidRDefault="009365B2" w:rsidP="009365B2">
      <w:pPr>
        <w:widowControl w:val="0"/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  <w:r>
        <w:rPr>
          <w:rFonts w:eastAsia="Lucida Sans Unicode"/>
          <w:kern w:val="1"/>
          <w:sz w:val="28"/>
          <w:szCs w:val="28"/>
          <w:lang w:val="uk-UA" w:eastAsia="hi-IN" w:bidi="hi-IN"/>
        </w:rPr>
        <w:t>від листопада  2025</w:t>
      </w:r>
      <w:r w:rsidRPr="002A0A2D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року                              </w:t>
      </w:r>
      <w:r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                                                        </w:t>
      </w:r>
      <w:r w:rsidRPr="002A0A2D">
        <w:rPr>
          <w:rFonts w:eastAsia="Lucida Sans Unicode"/>
          <w:kern w:val="1"/>
          <w:sz w:val="28"/>
          <w:szCs w:val="28"/>
          <w:lang w:val="uk-UA" w:eastAsia="hi-IN" w:bidi="hi-IN"/>
        </w:rPr>
        <w:t>№</w:t>
      </w:r>
    </w:p>
    <w:p w14:paraId="7F6E3D51" w14:textId="77777777" w:rsidR="009365B2" w:rsidRDefault="009365B2" w:rsidP="00271E43">
      <w:pPr>
        <w:pStyle w:val="ac"/>
        <w:spacing w:before="1" w:line="597" w:lineRule="exact"/>
        <w:ind w:left="0"/>
        <w:jc w:val="left"/>
        <w:rPr>
          <w:sz w:val="28"/>
          <w:szCs w:val="28"/>
        </w:rPr>
      </w:pPr>
    </w:p>
    <w:p w14:paraId="36ADDB10" w14:textId="255F2469" w:rsidR="00271E43" w:rsidRPr="00FE4AD8" w:rsidRDefault="00271E43" w:rsidP="00271E43">
      <w:pPr>
        <w:pStyle w:val="ac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9365B2">
        <w:rPr>
          <w:sz w:val="28"/>
          <w:szCs w:val="28"/>
        </w:rPr>
        <w:t xml:space="preserve">погодження </w:t>
      </w:r>
      <w:r w:rsidR="00417FBD"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14:paraId="46B9BCBE" w14:textId="77777777" w:rsidR="00271E43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14:paraId="5E8AAD3F" w14:textId="77777777" w:rsidR="00271E43" w:rsidRPr="00FE4AD8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09253D21" w14:textId="77777777" w:rsidR="00271E43" w:rsidRDefault="00271E43" w:rsidP="00271E43">
      <w:pPr>
        <w:shd w:val="clear" w:color="auto" w:fill="FFFFFF"/>
        <w:ind w:right="358"/>
        <w:rPr>
          <w:b/>
          <w:sz w:val="28"/>
          <w:szCs w:val="28"/>
        </w:rPr>
      </w:pPr>
    </w:p>
    <w:p w14:paraId="74A6DC66" w14:textId="2E52D5D1" w:rsidR="00271E43" w:rsidRPr="00CB6755" w:rsidRDefault="00271E43" w:rsidP="00271E4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 w:rsidR="009365B2">
        <w:rPr>
          <w:rFonts w:ascii="Times New Roman" w:hAnsi="Times New Roman" w:cs="Times New Roman"/>
          <w:sz w:val="28"/>
          <w:lang w:val="uk-UA"/>
        </w:rPr>
        <w:t xml:space="preserve">виконавчий комітет селищної ради </w:t>
      </w:r>
    </w:p>
    <w:p w14:paraId="406224D9" w14:textId="77777777" w:rsidR="00271E43" w:rsidRPr="00CB6755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102C72F9" w14:textId="792CF505" w:rsidR="00271E43" w:rsidRDefault="00271E43" w:rsidP="00271E43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</w:t>
      </w:r>
      <w:r w:rsidR="009365B2">
        <w:rPr>
          <w:rFonts w:ascii="Times New Roman" w:hAnsi="Times New Roman" w:cs="Times New Roman"/>
          <w:b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44381A4" w14:textId="77777777" w:rsidR="00271E43" w:rsidRPr="00012AB0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7CD1397B" w14:textId="7D918CA7" w:rsidR="00271E43" w:rsidRDefault="00271E43" w:rsidP="00271E43">
      <w:pPr>
        <w:ind w:firstLine="708"/>
        <w:jc w:val="both"/>
        <w:rPr>
          <w:sz w:val="28"/>
        </w:rPr>
      </w:pPr>
      <w:r w:rsidRPr="00CB6755">
        <w:rPr>
          <w:sz w:val="28"/>
          <w:szCs w:val="28"/>
        </w:rPr>
        <w:t xml:space="preserve">1. </w:t>
      </w:r>
      <w:r w:rsidR="009365B2">
        <w:rPr>
          <w:sz w:val="28"/>
          <w:szCs w:val="28"/>
          <w:lang w:val="uk-UA"/>
        </w:rPr>
        <w:t xml:space="preserve">Погодити </w:t>
      </w:r>
      <w:proofErr w:type="spellStart"/>
      <w:r w:rsidR="009365B2">
        <w:rPr>
          <w:sz w:val="28"/>
          <w:szCs w:val="28"/>
          <w:lang w:val="uk-UA"/>
        </w:rPr>
        <w:t>в</w:t>
      </w:r>
      <w:r w:rsidR="00417FBD">
        <w:rPr>
          <w:sz w:val="28"/>
          <w:szCs w:val="28"/>
          <w:lang w:val="uk-UA"/>
        </w:rPr>
        <w:t>нести</w:t>
      </w:r>
      <w:proofErr w:type="spellEnd"/>
      <w:r w:rsidR="00417FBD">
        <w:rPr>
          <w:sz w:val="28"/>
          <w:szCs w:val="28"/>
          <w:lang w:val="uk-UA"/>
        </w:rPr>
        <w:t xml:space="preserve"> зміни до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Програм</w:t>
      </w:r>
      <w:proofErr w:type="spellEnd"/>
      <w:r w:rsidR="009365B2">
        <w:rPr>
          <w:sz w:val="28"/>
          <w:szCs w:val="28"/>
          <w:lang w:val="uk-UA"/>
        </w:rPr>
        <w:t>и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підтримки</w:t>
      </w:r>
      <w:proofErr w:type="spellEnd"/>
      <w:r w:rsidRPr="00CB6755"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період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2025-2028</w:t>
      </w:r>
      <w:r w:rsidRPr="00CB6755">
        <w:rPr>
          <w:b/>
          <w:spacing w:val="-3"/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рік</w:t>
      </w:r>
      <w:proofErr w:type="spellEnd"/>
      <w:r w:rsidRPr="00CB6755">
        <w:rPr>
          <w:sz w:val="28"/>
          <w:szCs w:val="28"/>
        </w:rPr>
        <w:t xml:space="preserve"> </w:t>
      </w:r>
      <w:r w:rsidR="00417FBD">
        <w:rPr>
          <w:sz w:val="28"/>
          <w:szCs w:val="28"/>
          <w:lang w:val="uk-UA"/>
        </w:rPr>
        <w:t>, програму викласти в новій редакції</w:t>
      </w:r>
      <w:r w:rsidRPr="00CB6755">
        <w:rPr>
          <w:sz w:val="28"/>
          <w:szCs w:val="28"/>
        </w:rPr>
        <w:t xml:space="preserve"> (</w:t>
      </w:r>
      <w:proofErr w:type="spellStart"/>
      <w:r w:rsidRPr="00CB6755">
        <w:rPr>
          <w:sz w:val="28"/>
          <w:szCs w:val="28"/>
        </w:rPr>
        <w:t>Програма</w:t>
      </w:r>
      <w:proofErr w:type="spellEnd"/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  <w:r w:rsidRPr="006E0423">
        <w:rPr>
          <w:sz w:val="28"/>
        </w:rPr>
        <w:t xml:space="preserve"> </w:t>
      </w:r>
    </w:p>
    <w:p w14:paraId="019719C6" w14:textId="77777777" w:rsidR="00271E43" w:rsidRPr="006E0423" w:rsidRDefault="00271E43" w:rsidP="00271E43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</w:t>
      </w:r>
      <w:proofErr w:type="spellStart"/>
      <w:r w:rsidRPr="00022DFD">
        <w:rPr>
          <w:sz w:val="28"/>
        </w:rPr>
        <w:t>Головним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розпорядником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коштів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визначити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селищну</w:t>
      </w:r>
      <w:proofErr w:type="spellEnd"/>
      <w:r w:rsidRPr="00022DFD">
        <w:rPr>
          <w:sz w:val="28"/>
        </w:rPr>
        <w:t xml:space="preserve"> раду.</w:t>
      </w:r>
    </w:p>
    <w:p w14:paraId="1D98BC9F" w14:textId="511A3E25" w:rsidR="009365B2" w:rsidRPr="009365B2" w:rsidRDefault="009365B2" w:rsidP="009365B2">
      <w:pPr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9365B2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3.Фінансовому відділу Березнянської селищної ради передбачити фінансування видатків на виконання заходів Програми</w:t>
      </w:r>
    </w:p>
    <w:p w14:paraId="0788D5A4" w14:textId="77777777" w:rsidR="009365B2" w:rsidRPr="009365B2" w:rsidRDefault="009365B2" w:rsidP="009365B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365B2">
        <w:rPr>
          <w:sz w:val="28"/>
          <w:lang w:val="uk-UA"/>
        </w:rPr>
        <w:t>4.</w:t>
      </w:r>
      <w:r w:rsidRPr="009365B2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на начальника фінансового відділу Ольгу РОМАНЧЕНКО.</w:t>
      </w:r>
    </w:p>
    <w:p w14:paraId="6D050729" w14:textId="277898B2" w:rsidR="00271E43" w:rsidRPr="001819E8" w:rsidRDefault="00271E43" w:rsidP="009365B2">
      <w:pPr>
        <w:ind w:firstLine="708"/>
        <w:jc w:val="both"/>
        <w:rPr>
          <w:sz w:val="28"/>
          <w:szCs w:val="28"/>
        </w:rPr>
      </w:pPr>
    </w:p>
    <w:p w14:paraId="74F09964" w14:textId="77777777" w:rsidR="00271E43" w:rsidRDefault="00271E43" w:rsidP="00271E43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D3987F0" w14:textId="77777777" w:rsidR="00271E43" w:rsidRDefault="00271E43" w:rsidP="00271E43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14:paraId="3320F0B5" w14:textId="77777777" w:rsidR="00271E43" w:rsidRDefault="00271E43" w:rsidP="00271E43">
      <w:pPr>
        <w:shd w:val="clear" w:color="auto" w:fill="FFFFFF"/>
        <w:ind w:right="358"/>
      </w:pPr>
    </w:p>
    <w:p w14:paraId="11BF2686" w14:textId="77777777" w:rsidR="00271E43" w:rsidRDefault="00271E43" w:rsidP="00271E43">
      <w:pPr>
        <w:shd w:val="clear" w:color="auto" w:fill="FFFFFF"/>
        <w:ind w:right="358"/>
      </w:pPr>
    </w:p>
    <w:p w14:paraId="6D35A331" w14:textId="77777777" w:rsidR="00271E43" w:rsidRDefault="00271E43" w:rsidP="00271E43">
      <w:pPr>
        <w:shd w:val="clear" w:color="auto" w:fill="FFFFFF"/>
        <w:ind w:right="358"/>
      </w:pPr>
    </w:p>
    <w:p w14:paraId="3DC277B3" w14:textId="77777777" w:rsidR="00271E43" w:rsidRDefault="00271E43" w:rsidP="00271E43">
      <w:pPr>
        <w:spacing w:before="69" w:line="263" w:lineRule="exact"/>
        <w:ind w:right="912"/>
        <w:jc w:val="right"/>
        <w:rPr>
          <w:b/>
          <w:sz w:val="23"/>
        </w:rPr>
      </w:pPr>
    </w:p>
    <w:p w14:paraId="6876F341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365EEDAA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72D05F8E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62728E22" w14:textId="77777777" w:rsidR="006E56E8" w:rsidRPr="006E56E8" w:rsidRDefault="0051341D" w:rsidP="006E56E8">
      <w:pPr>
        <w:spacing w:line="274" w:lineRule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</w:t>
      </w:r>
      <w:r w:rsidR="006E56E8" w:rsidRPr="006E56E8">
        <w:rPr>
          <w:sz w:val="28"/>
          <w:szCs w:val="28"/>
          <w:lang w:val="en-US"/>
        </w:rPr>
        <w:t xml:space="preserve">                </w:t>
      </w:r>
      <w:r w:rsidR="006E56E8" w:rsidRPr="006E56E8">
        <w:rPr>
          <w:sz w:val="28"/>
          <w:szCs w:val="28"/>
          <w:lang w:val="uk-UA"/>
        </w:rPr>
        <w:t xml:space="preserve">                                                               Додаток</w:t>
      </w:r>
    </w:p>
    <w:p w14:paraId="5FC3A7A9" w14:textId="77777777" w:rsidR="006E56E8" w:rsidRPr="006E56E8" w:rsidRDefault="006E56E8" w:rsidP="006E56E8">
      <w:pPr>
        <w:spacing w:line="274" w:lineRule="auto"/>
        <w:rPr>
          <w:sz w:val="28"/>
          <w:szCs w:val="28"/>
          <w:lang w:val="uk-UA"/>
        </w:rPr>
      </w:pPr>
      <w:r w:rsidRPr="006E56E8"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7003DB27" w14:textId="77777777" w:rsidR="006E56E8" w:rsidRPr="006E56E8" w:rsidRDefault="006E56E8" w:rsidP="006E56E8">
      <w:pPr>
        <w:spacing w:line="274" w:lineRule="auto"/>
        <w:rPr>
          <w:lang w:val="uk-UA"/>
        </w:rPr>
      </w:pPr>
      <w:r w:rsidRPr="006E56E8">
        <w:rPr>
          <w:sz w:val="28"/>
          <w:szCs w:val="28"/>
          <w:lang w:val="uk-UA"/>
        </w:rPr>
        <w:t xml:space="preserve">                                                                               від   листопада 2025 року №</w:t>
      </w:r>
    </w:p>
    <w:p w14:paraId="5EFB626C" w14:textId="77777777" w:rsidR="006E56E8" w:rsidRPr="006E56E8" w:rsidRDefault="006E56E8" w:rsidP="006E56E8">
      <w:pPr>
        <w:widowControl w:val="0"/>
        <w:autoSpaceDE w:val="0"/>
        <w:autoSpaceDN w:val="0"/>
        <w:rPr>
          <w:sz w:val="26"/>
          <w:szCs w:val="28"/>
          <w:lang w:val="uk-UA" w:eastAsia="en-US"/>
        </w:rPr>
      </w:pPr>
    </w:p>
    <w:p w14:paraId="0391C093" w14:textId="6CFBC1CB" w:rsidR="00C772CE" w:rsidRPr="00126601" w:rsidRDefault="00C772CE" w:rsidP="006E56E8">
      <w:pPr>
        <w:ind w:left="4248" w:firstLine="430"/>
        <w:contextualSpacing/>
        <w:rPr>
          <w:b/>
          <w:bCs/>
          <w:sz w:val="26"/>
          <w:szCs w:val="26"/>
          <w:lang w:val="uk-UA"/>
        </w:rPr>
      </w:pPr>
    </w:p>
    <w:p w14:paraId="09956AEC" w14:textId="77777777"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14:paraId="443396F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A3309D4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30CAECE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789AF5CA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BD4483B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9E3F76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996B030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34F1FAC1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22D855F" w14:textId="77777777"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14:paraId="67625D62" w14:textId="77777777"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14:paraId="43A56A91" w14:textId="77777777"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14:paraId="3BF62115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C5FE56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5F0011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366F8EB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0682B3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74F6AC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CC0F15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0F6AF2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2A964C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78AD27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73B93E3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493B1E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11CFA41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FB97BCF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9CF992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C32542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1D3AC8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08F2FCF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029CD7A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EBC7A6B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FB12996" w14:textId="77777777"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0A34B3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14:paraId="1A951EFF" w14:textId="77777777" w:rsidR="004E5DD5" w:rsidRDefault="004E5DD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65D2E102" w14:textId="77777777" w:rsidR="000A34B3" w:rsidRDefault="000A34B3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65A8A2F3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14:paraId="118029F5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7CD66222" w14:textId="77777777"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477FB327" w14:textId="77777777"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8171"/>
        <w:gridCol w:w="821"/>
      </w:tblGrid>
      <w:tr w:rsidR="000C785A" w:rsidRPr="00465999" w14:paraId="017F41C9" w14:textId="77777777" w:rsidTr="005000BE">
        <w:trPr>
          <w:trHeight w:val="687"/>
        </w:trPr>
        <w:tc>
          <w:tcPr>
            <w:tcW w:w="636" w:type="dxa"/>
            <w:shd w:val="clear" w:color="auto" w:fill="auto"/>
          </w:tcPr>
          <w:p w14:paraId="0908C24D" w14:textId="77777777"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  <w:shd w:val="clear" w:color="auto" w:fill="auto"/>
          </w:tcPr>
          <w:p w14:paraId="3012C35D" w14:textId="77777777"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14:paraId="5ADD93E3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790FF74B" w14:textId="77777777" w:rsidTr="005000BE">
        <w:tc>
          <w:tcPr>
            <w:tcW w:w="636" w:type="dxa"/>
            <w:shd w:val="clear" w:color="auto" w:fill="auto"/>
          </w:tcPr>
          <w:p w14:paraId="0A0B7917" w14:textId="77777777"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  <w:shd w:val="clear" w:color="auto" w:fill="auto"/>
          </w:tcPr>
          <w:p w14:paraId="75311C41" w14:textId="77777777"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  <w:shd w:val="clear" w:color="auto" w:fill="auto"/>
          </w:tcPr>
          <w:p w14:paraId="7815D818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3776F523" w14:textId="77777777" w:rsidTr="005000BE">
        <w:tc>
          <w:tcPr>
            <w:tcW w:w="636" w:type="dxa"/>
            <w:shd w:val="clear" w:color="auto" w:fill="auto"/>
          </w:tcPr>
          <w:p w14:paraId="748EEBB5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  <w:shd w:val="clear" w:color="auto" w:fill="auto"/>
          </w:tcPr>
          <w:p w14:paraId="29F57B83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  <w:shd w:val="clear" w:color="auto" w:fill="auto"/>
          </w:tcPr>
          <w:p w14:paraId="499014B3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17E839FA" w14:textId="77777777" w:rsidTr="005000BE">
        <w:tc>
          <w:tcPr>
            <w:tcW w:w="636" w:type="dxa"/>
            <w:shd w:val="clear" w:color="auto" w:fill="auto"/>
          </w:tcPr>
          <w:p w14:paraId="69A71EF2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  <w:shd w:val="clear" w:color="auto" w:fill="auto"/>
          </w:tcPr>
          <w:p w14:paraId="4B5B24F2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  <w:shd w:val="clear" w:color="auto" w:fill="auto"/>
          </w:tcPr>
          <w:p w14:paraId="02A53B7F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7561B6F3" w14:textId="77777777" w:rsidTr="005000BE">
        <w:tc>
          <w:tcPr>
            <w:tcW w:w="636" w:type="dxa"/>
            <w:shd w:val="clear" w:color="auto" w:fill="auto"/>
          </w:tcPr>
          <w:p w14:paraId="4304E033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  <w:shd w:val="clear" w:color="auto" w:fill="auto"/>
          </w:tcPr>
          <w:p w14:paraId="2D19CDBC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51F66A8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276A50EB" w14:textId="77777777" w:rsidTr="005000BE">
        <w:tc>
          <w:tcPr>
            <w:tcW w:w="636" w:type="dxa"/>
            <w:shd w:val="clear" w:color="auto" w:fill="auto"/>
          </w:tcPr>
          <w:p w14:paraId="40B4766C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  <w:shd w:val="clear" w:color="auto" w:fill="auto"/>
          </w:tcPr>
          <w:p w14:paraId="662FE7AC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  <w:shd w:val="clear" w:color="auto" w:fill="auto"/>
          </w:tcPr>
          <w:p w14:paraId="56D7948A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1BC50A57" w14:textId="77777777" w:rsidTr="005000BE">
        <w:tc>
          <w:tcPr>
            <w:tcW w:w="636" w:type="dxa"/>
            <w:shd w:val="clear" w:color="auto" w:fill="auto"/>
          </w:tcPr>
          <w:p w14:paraId="34AF1898" w14:textId="77777777"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  <w:shd w:val="clear" w:color="auto" w:fill="auto"/>
          </w:tcPr>
          <w:p w14:paraId="3C4F5529" w14:textId="77777777"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4A82ECD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4085C28D" w14:textId="77777777" w:rsidTr="005000BE">
        <w:tc>
          <w:tcPr>
            <w:tcW w:w="636" w:type="dxa"/>
            <w:shd w:val="clear" w:color="auto" w:fill="auto"/>
          </w:tcPr>
          <w:p w14:paraId="712A6659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  <w:shd w:val="clear" w:color="auto" w:fill="auto"/>
          </w:tcPr>
          <w:p w14:paraId="02A54DC3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1AA4D4D5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665052A4" w14:textId="77777777" w:rsidTr="005000BE">
        <w:tc>
          <w:tcPr>
            <w:tcW w:w="636" w:type="dxa"/>
            <w:shd w:val="clear" w:color="auto" w:fill="auto"/>
          </w:tcPr>
          <w:p w14:paraId="66857D87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14:paraId="2A2D89DF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14:paraId="300F0415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14:paraId="4B1C6BD3" w14:textId="77777777"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  <w:shd w:val="clear" w:color="auto" w:fill="auto"/>
          </w:tcPr>
          <w:p w14:paraId="1C616176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14:paraId="5EE49D3E" w14:textId="77777777"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14:paraId="03714844" w14:textId="77777777"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14:paraId="2BEE0C08" w14:textId="77777777" w:rsidR="000C785A" w:rsidRPr="00465999" w:rsidRDefault="000C785A" w:rsidP="0020555F">
            <w:pPr>
              <w:jc w:val="center"/>
            </w:pPr>
          </w:p>
        </w:tc>
      </w:tr>
    </w:tbl>
    <w:p w14:paraId="327F3F36" w14:textId="77777777" w:rsidR="00E46855" w:rsidRPr="00465999" w:rsidRDefault="00E46855" w:rsidP="00E46855">
      <w:pPr>
        <w:spacing w:after="120"/>
        <w:jc w:val="center"/>
        <w:rPr>
          <w:b/>
          <w:sz w:val="28"/>
          <w:szCs w:val="28"/>
          <w:lang w:val="uk-UA"/>
        </w:rPr>
      </w:pPr>
    </w:p>
    <w:p w14:paraId="56A8C81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411138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E267DC7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65B4186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91A0555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64B71C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757FE3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BF41B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547FD5E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CFBF5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DED1FD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7CEA3DE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155FB3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A92883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28000F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3B1E7E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5B1AA9D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8F37A6A" w14:textId="77777777" w:rsidR="00754FA5" w:rsidRDefault="00754FA5" w:rsidP="0089695B">
      <w:pPr>
        <w:pStyle w:val="Default"/>
        <w:rPr>
          <w:b/>
          <w:bCs/>
          <w:sz w:val="28"/>
          <w:szCs w:val="28"/>
          <w:lang w:val="uk-UA"/>
        </w:rPr>
      </w:pPr>
    </w:p>
    <w:p w14:paraId="1FABF7B9" w14:textId="77777777"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234B2510" w14:textId="77777777" w:rsidR="005000B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14:paraId="14D99AC7" w14:textId="77777777"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14:paraId="7B136E1A" w14:textId="77777777"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14:paraId="3373C2EC" w14:textId="77777777"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4814"/>
      </w:tblGrid>
      <w:tr w:rsidR="00B91AB0" w14:paraId="388ECDEE" w14:textId="77777777" w:rsidTr="000A34B3">
        <w:trPr>
          <w:trHeight w:val="1636"/>
        </w:trPr>
        <w:tc>
          <w:tcPr>
            <w:tcW w:w="704" w:type="dxa"/>
          </w:tcPr>
          <w:p w14:paraId="7B09ABBA" w14:textId="77777777" w:rsidR="00B91AB0" w:rsidRPr="00B91AB0" w:rsidRDefault="00B91AB0" w:rsidP="00C772CE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110" w:type="dxa"/>
          </w:tcPr>
          <w:p w14:paraId="3D0DF029" w14:textId="77777777"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14:paraId="5AC33CD2" w14:textId="77777777" w:rsidR="00B91AB0" w:rsidRDefault="00B91AB0" w:rsidP="005000B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14:paraId="0F011BA9" w14:textId="77777777" w:rsidR="00B91AB0" w:rsidRPr="000A34B3" w:rsidRDefault="00875450" w:rsidP="000A34B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RPr="00754FA5" w14:paraId="448A55F6" w14:textId="77777777" w:rsidTr="00B91AB0">
        <w:tc>
          <w:tcPr>
            <w:tcW w:w="704" w:type="dxa"/>
            <w:shd w:val="clear" w:color="auto" w:fill="auto"/>
          </w:tcPr>
          <w:p w14:paraId="597EEB64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519438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14:paraId="65416B76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9C475CC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20E7C41D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765B5E6E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14:paraId="2A429042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6A4F5D6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117805FC" w14:textId="77777777" w:rsidR="00B91AB0" w:rsidRDefault="00DA7E3D" w:rsidP="00DA7E3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14:paraId="1CD0003B" w14:textId="77777777" w:rsidTr="00B91AB0">
        <w:tc>
          <w:tcPr>
            <w:tcW w:w="704" w:type="dxa"/>
            <w:shd w:val="clear" w:color="auto" w:fill="auto"/>
          </w:tcPr>
          <w:p w14:paraId="0A1087C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37367740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14:paraId="3F89996F" w14:textId="77777777" w:rsidR="00B91AB0" w:rsidRPr="009A581B" w:rsidRDefault="009A581B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2D5EF677" w14:textId="77777777" w:rsidTr="00B91AB0">
        <w:tc>
          <w:tcPr>
            <w:tcW w:w="704" w:type="dxa"/>
            <w:shd w:val="clear" w:color="auto" w:fill="auto"/>
          </w:tcPr>
          <w:p w14:paraId="72A5A728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580A8D8F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14:paraId="27E593AC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6F5E646F" w14:textId="77777777" w:rsidTr="00B91AB0">
        <w:tc>
          <w:tcPr>
            <w:tcW w:w="704" w:type="dxa"/>
            <w:shd w:val="clear" w:color="auto" w:fill="auto"/>
          </w:tcPr>
          <w:p w14:paraId="2F2209E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47E382A4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14:paraId="7E17BA98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875450">
              <w:rPr>
                <w:bCs/>
                <w:sz w:val="28"/>
                <w:szCs w:val="28"/>
                <w:lang w:val="uk-UA"/>
              </w:rPr>
              <w:t>Березнянська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14:paraId="49107968" w14:textId="77777777" w:rsidTr="00B91AB0">
        <w:tc>
          <w:tcPr>
            <w:tcW w:w="704" w:type="dxa"/>
            <w:shd w:val="clear" w:color="auto" w:fill="auto"/>
          </w:tcPr>
          <w:p w14:paraId="133FE30C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14F60C6B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14:paraId="3E471C2B" w14:textId="77777777" w:rsidR="00B91AB0" w:rsidRPr="009A581B" w:rsidRDefault="008F0579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14:paraId="4CEC2FC7" w14:textId="77777777" w:rsidTr="00B91AB0">
        <w:tc>
          <w:tcPr>
            <w:tcW w:w="704" w:type="dxa"/>
            <w:shd w:val="clear" w:color="auto" w:fill="auto"/>
          </w:tcPr>
          <w:p w14:paraId="180E782E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7E2537AD" w14:textId="77777777" w:rsidR="00B91AB0" w:rsidRPr="005B1D02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14:paraId="74D5E62D" w14:textId="77777777" w:rsidR="00B91AB0" w:rsidRPr="003F5D1A" w:rsidRDefault="002B3756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> </w:t>
            </w:r>
            <w:r>
              <w:rPr>
                <w:b/>
                <w:bCs/>
                <w:sz w:val="28"/>
                <w:szCs w:val="28"/>
                <w:lang w:val="uk-UA"/>
              </w:rPr>
              <w:t>281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B91AB0" w14:paraId="2234CB52" w14:textId="77777777" w:rsidTr="00B91AB0">
        <w:tc>
          <w:tcPr>
            <w:tcW w:w="704" w:type="dxa"/>
            <w:shd w:val="clear" w:color="auto" w:fill="auto"/>
          </w:tcPr>
          <w:p w14:paraId="1BF1C0A2" w14:textId="77777777" w:rsidR="00B91AB0" w:rsidRDefault="00B91AB0" w:rsidP="00B91AB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  <w:shd w:val="clear" w:color="auto" w:fill="auto"/>
          </w:tcPr>
          <w:p w14:paraId="2477CA70" w14:textId="77777777" w:rsidR="00B91AB0" w:rsidRPr="00DA7E3D" w:rsidRDefault="00B91AB0" w:rsidP="005B1D02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75450">
              <w:rPr>
                <w:color w:val="000000"/>
                <w:sz w:val="28"/>
                <w:szCs w:val="28"/>
                <w:lang w:val="uk-UA"/>
              </w:rPr>
              <w:t xml:space="preserve">Березнянської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14:paraId="229DFE62" w14:textId="77777777" w:rsidR="00B91AB0" w:rsidRPr="00703B20" w:rsidRDefault="00703B20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14:paraId="5E68DAD6" w14:textId="77777777" w:rsidR="00754FA5" w:rsidRDefault="00754FA5" w:rsidP="009B1CBE">
      <w:pPr>
        <w:pStyle w:val="Default"/>
        <w:rPr>
          <w:b/>
          <w:bCs/>
          <w:sz w:val="28"/>
          <w:szCs w:val="28"/>
          <w:lang w:val="uk-UA"/>
        </w:rPr>
      </w:pPr>
    </w:p>
    <w:p w14:paraId="77A0199B" w14:textId="77777777"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540355A7" w14:textId="77777777" w:rsidR="000A34B3" w:rsidRDefault="000A34B3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1EF9DBBC" w14:textId="77777777" w:rsidR="009A581B" w:rsidRDefault="009A581B" w:rsidP="009A581B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26F7CA2" w14:textId="77777777"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3A0D3BAD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14:paraId="28B73A2F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lastRenderedPageBreak/>
        <w:t>Перспективність розвитку суспільства визначається станом здоров’я людини та державними витратами на охорону здоров’я.</w:t>
      </w:r>
    </w:p>
    <w:p w14:paraId="183FEADA" w14:textId="77777777"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14:paraId="67217580" w14:textId="77777777"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14:paraId="09A59435" w14:textId="77777777"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14:paraId="30336D87" w14:textId="77777777"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r w:rsidR="00875450">
        <w:rPr>
          <w:sz w:val="28"/>
          <w:szCs w:val="28"/>
          <w:lang w:val="uk-UA"/>
        </w:rPr>
        <w:t>Березнянської</w:t>
      </w:r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14:paraId="3FFD9754" w14:textId="77777777"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14:paraId="7EA34FB2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14:paraId="5A356C3A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14:paraId="4E85E3FB" w14:textId="77777777"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14:paraId="0187F824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14:paraId="58473C64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14:paraId="3FE4B4D3" w14:textId="77777777"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14:paraId="43F9E88E" w14:textId="77777777"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B6A9F" w14:textId="77777777" w:rsidR="006B0835" w:rsidRDefault="006B0835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164A32" w14:textId="77777777"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96AB6" w14:textId="77777777"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F760C" w14:textId="77777777"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14:paraId="2D909176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E293350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14:paraId="2DA23691" w14:textId="77777777"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14:paraId="43141C7C" w14:textId="77777777"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14:paraId="7595A9A5" w14:textId="77777777"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</w:t>
      </w:r>
      <w:r>
        <w:rPr>
          <w:sz w:val="28"/>
          <w:szCs w:val="28"/>
          <w:lang w:val="uk-UA"/>
        </w:rPr>
        <w:lastRenderedPageBreak/>
        <w:t>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14:paraId="099A0EAA" w14:textId="77777777"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14:paraId="76313CA3" w14:textId="77777777"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14:paraId="59F031D9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Березнянській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14:paraId="6EB53CC1" w14:textId="77777777"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14:paraId="39E899AC" w14:textId="77777777"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14:paraId="2B5C2225" w14:textId="77777777"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14:paraId="0896A3EF" w14:textId="77777777"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BCE09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14:paraId="43BBEA50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1B18DE00" w14:textId="77777777"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14:paraId="24095ECC" w14:textId="77777777"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14:paraId="168685D0" w14:textId="77777777"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14:paraId="41C83DE6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14:paraId="39FB8961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14:paraId="01D22C81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14:paraId="7701F14E" w14:textId="77777777" w:rsidR="006063FC" w:rsidRPr="00777282" w:rsidRDefault="006063FC" w:rsidP="00606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933021" w14:textId="77777777" w:rsidR="006063FC" w:rsidRP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49AA3708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E0DF7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A9154" w14:textId="77777777"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14:paraId="31E5F9C4" w14:textId="77777777"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B9B29" w14:textId="77777777"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14:paraId="786C4E41" w14:textId="77777777"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14:paraId="6E031610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14:paraId="077246CC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14:paraId="4612B1A3" w14:textId="77777777"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належного кваліфікаційного рівня медичного персоналу;</w:t>
      </w:r>
    </w:p>
    <w:p w14:paraId="56359687" w14:textId="77777777"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14:paraId="60DC8A7D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B9C843" w14:textId="77777777"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14:paraId="7D446690" w14:textId="77777777"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14:paraId="441F934E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r w:rsidR="00875450">
        <w:rPr>
          <w:sz w:val="28"/>
          <w:szCs w:val="28"/>
          <w:lang w:val="uk-UA"/>
        </w:rPr>
        <w:t>Березнянської</w:t>
      </w:r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14:paraId="0A62EDE2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14:paraId="104CA2B7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14:paraId="670AEF04" w14:textId="77777777"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14:paraId="2980508F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14:paraId="3A9F4B33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0C14C7C9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14:paraId="14411ED9" w14:textId="77777777"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149207C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14:paraId="0D6FEAA0" w14:textId="77777777"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1988AABC" w14:textId="77777777"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14:paraId="2B0AA106" w14:textId="77777777" w:rsidR="006063FC" w:rsidRPr="00777282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1D03BE5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C969C6E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78FBF270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7490A1A7" w14:textId="77777777"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14:paraId="6B968451" w14:textId="77777777"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14:paraId="085F12FC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14:paraId="42681541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14:paraId="2E0431EF" w14:textId="77777777"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71FC7710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D708776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6109B460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4C59A01D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25605F30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7D30886E" w14:textId="77777777" w:rsidR="00F807BF" w:rsidRDefault="00F807BF" w:rsidP="00D71830">
      <w:pPr>
        <w:rPr>
          <w:b/>
          <w:sz w:val="28"/>
          <w:szCs w:val="28"/>
          <w:lang w:val="uk-UA"/>
        </w:rPr>
      </w:pPr>
    </w:p>
    <w:p w14:paraId="49EED58D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6A836A25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4E8C0B2C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D9568E1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17E56E0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57BB1121" w14:textId="77777777" w:rsidR="00783A6D" w:rsidRPr="000A34B3" w:rsidRDefault="00060B91" w:rsidP="00060B91">
      <w:pPr>
        <w:rPr>
          <w:lang w:val="uk-UA"/>
        </w:rPr>
      </w:pPr>
      <w:r>
        <w:lastRenderedPageBreak/>
        <w:t xml:space="preserve">                                                                                                    </w:t>
      </w:r>
      <w:r w:rsidR="000A34B3">
        <w:t xml:space="preserve">                            </w:t>
      </w:r>
    </w:p>
    <w:p w14:paraId="3E8D123A" w14:textId="77777777" w:rsidR="000A34B3" w:rsidRDefault="00060B91" w:rsidP="00060B91">
      <w:pPr>
        <w:pStyle w:val="rvps2"/>
        <w:contextualSpacing/>
      </w:pPr>
      <w:r>
        <w:t xml:space="preserve">                                            </w:t>
      </w:r>
    </w:p>
    <w:p w14:paraId="450122D9" w14:textId="77777777" w:rsidR="000A34B3" w:rsidRDefault="000A34B3" w:rsidP="00060B91">
      <w:pPr>
        <w:pStyle w:val="rvps2"/>
        <w:contextualSpacing/>
      </w:pPr>
    </w:p>
    <w:p w14:paraId="57A2A843" w14:textId="77777777" w:rsidR="000A34B3" w:rsidRDefault="000A34B3" w:rsidP="00060B91">
      <w:pPr>
        <w:pStyle w:val="rvps2"/>
        <w:contextualSpacing/>
      </w:pPr>
    </w:p>
    <w:p w14:paraId="161DEC7B" w14:textId="77777777" w:rsidR="000A34B3" w:rsidRDefault="000A34B3" w:rsidP="00060B91">
      <w:pPr>
        <w:pStyle w:val="rvps2"/>
        <w:contextualSpacing/>
      </w:pPr>
    </w:p>
    <w:p w14:paraId="1505F1DE" w14:textId="77777777" w:rsidR="000A34B3" w:rsidRDefault="000A34B3" w:rsidP="00060B91">
      <w:pPr>
        <w:pStyle w:val="rvps2"/>
        <w:contextualSpacing/>
      </w:pPr>
    </w:p>
    <w:p w14:paraId="201C9A8E" w14:textId="77777777" w:rsidR="000A34B3" w:rsidRDefault="000A34B3" w:rsidP="00060B91">
      <w:pPr>
        <w:pStyle w:val="rvps2"/>
        <w:contextualSpacing/>
      </w:pPr>
    </w:p>
    <w:p w14:paraId="04620950" w14:textId="77777777" w:rsidR="000A34B3" w:rsidRDefault="000A34B3" w:rsidP="00060B91">
      <w:pPr>
        <w:pStyle w:val="rvps2"/>
        <w:contextualSpacing/>
      </w:pPr>
    </w:p>
    <w:p w14:paraId="400BFFBB" w14:textId="77777777" w:rsidR="000A34B3" w:rsidRDefault="000A34B3" w:rsidP="00060B91">
      <w:pPr>
        <w:pStyle w:val="rvps2"/>
        <w:contextualSpacing/>
      </w:pPr>
    </w:p>
    <w:p w14:paraId="275E6F38" w14:textId="77777777" w:rsidR="000A34B3" w:rsidRDefault="000A34B3" w:rsidP="00060B91">
      <w:pPr>
        <w:pStyle w:val="rvps2"/>
        <w:contextualSpacing/>
      </w:pPr>
    </w:p>
    <w:p w14:paraId="6CDD795A" w14:textId="77777777" w:rsidR="000A34B3" w:rsidRDefault="000A34B3" w:rsidP="00060B91">
      <w:pPr>
        <w:pStyle w:val="rvps2"/>
        <w:contextualSpacing/>
      </w:pPr>
    </w:p>
    <w:p w14:paraId="078572E0" w14:textId="77777777" w:rsidR="000A34B3" w:rsidRDefault="000A34B3" w:rsidP="00060B91">
      <w:pPr>
        <w:pStyle w:val="rvps2"/>
        <w:contextualSpacing/>
      </w:pPr>
    </w:p>
    <w:p w14:paraId="2594B48C" w14:textId="77777777" w:rsidR="000A34B3" w:rsidRDefault="000A34B3" w:rsidP="00060B91">
      <w:pPr>
        <w:pStyle w:val="rvps2"/>
        <w:contextualSpacing/>
      </w:pPr>
    </w:p>
    <w:p w14:paraId="54DF290A" w14:textId="77777777" w:rsidR="000A34B3" w:rsidRDefault="000A34B3" w:rsidP="00060B91">
      <w:pPr>
        <w:pStyle w:val="rvps2"/>
        <w:contextualSpacing/>
      </w:pPr>
    </w:p>
    <w:p w14:paraId="103637BB" w14:textId="77777777" w:rsidR="000A34B3" w:rsidRDefault="000A34B3" w:rsidP="00060B91">
      <w:pPr>
        <w:pStyle w:val="rvps2"/>
        <w:contextualSpacing/>
      </w:pPr>
    </w:p>
    <w:p w14:paraId="0B04C546" w14:textId="77777777" w:rsidR="000A34B3" w:rsidRDefault="000A34B3" w:rsidP="00060B91">
      <w:pPr>
        <w:pStyle w:val="rvps2"/>
        <w:contextualSpacing/>
      </w:pPr>
    </w:p>
    <w:p w14:paraId="5110B4B8" w14:textId="77777777" w:rsidR="000A34B3" w:rsidRDefault="000A34B3" w:rsidP="00060B91">
      <w:pPr>
        <w:pStyle w:val="rvps2"/>
        <w:contextualSpacing/>
      </w:pPr>
    </w:p>
    <w:p w14:paraId="08F1C9B8" w14:textId="77777777" w:rsidR="000A34B3" w:rsidRDefault="000A34B3" w:rsidP="00060B91">
      <w:pPr>
        <w:pStyle w:val="rvps2"/>
        <w:contextualSpacing/>
      </w:pPr>
    </w:p>
    <w:p w14:paraId="3ED44746" w14:textId="77777777" w:rsidR="000A34B3" w:rsidRDefault="000A34B3" w:rsidP="00060B91">
      <w:pPr>
        <w:pStyle w:val="rvps2"/>
        <w:contextualSpacing/>
      </w:pPr>
    </w:p>
    <w:p w14:paraId="70BF2171" w14:textId="77777777" w:rsidR="000A34B3" w:rsidRDefault="000A34B3" w:rsidP="00060B91">
      <w:pPr>
        <w:pStyle w:val="rvps2"/>
        <w:contextualSpacing/>
      </w:pPr>
    </w:p>
    <w:p w14:paraId="6F72E429" w14:textId="77777777" w:rsidR="000A34B3" w:rsidRDefault="000A34B3" w:rsidP="00060B91">
      <w:pPr>
        <w:pStyle w:val="rvps2"/>
        <w:contextualSpacing/>
      </w:pPr>
    </w:p>
    <w:p w14:paraId="25A7D954" w14:textId="77777777" w:rsidR="000A34B3" w:rsidRDefault="000A34B3" w:rsidP="00060B91">
      <w:pPr>
        <w:pStyle w:val="rvps2"/>
        <w:contextualSpacing/>
      </w:pPr>
    </w:p>
    <w:p w14:paraId="33493CAA" w14:textId="77777777" w:rsidR="000A34B3" w:rsidRDefault="000A34B3" w:rsidP="00060B91">
      <w:pPr>
        <w:pStyle w:val="rvps2"/>
        <w:contextualSpacing/>
      </w:pPr>
    </w:p>
    <w:p w14:paraId="1BA914BC" w14:textId="77777777" w:rsidR="00271E43" w:rsidRDefault="00271E43" w:rsidP="00060B91">
      <w:pPr>
        <w:pStyle w:val="rvps2"/>
        <w:contextualSpacing/>
      </w:pPr>
    </w:p>
    <w:p w14:paraId="408D3502" w14:textId="77777777" w:rsidR="00271E43" w:rsidRDefault="00271E43" w:rsidP="00060B91">
      <w:pPr>
        <w:pStyle w:val="rvps2"/>
        <w:contextualSpacing/>
      </w:pPr>
    </w:p>
    <w:p w14:paraId="043756DC" w14:textId="77777777" w:rsidR="00271E43" w:rsidRDefault="00271E43" w:rsidP="00060B91">
      <w:pPr>
        <w:pStyle w:val="rvps2"/>
        <w:contextualSpacing/>
      </w:pPr>
    </w:p>
    <w:p w14:paraId="5A0BF430" w14:textId="77777777" w:rsidR="00271E43" w:rsidRDefault="00271E43" w:rsidP="00060B91">
      <w:pPr>
        <w:pStyle w:val="rvps2"/>
        <w:contextualSpacing/>
      </w:pPr>
    </w:p>
    <w:p w14:paraId="17A3AD1B" w14:textId="77777777" w:rsidR="00271E43" w:rsidRDefault="00271E43" w:rsidP="00060B91">
      <w:pPr>
        <w:pStyle w:val="rvps2"/>
        <w:contextualSpacing/>
      </w:pPr>
    </w:p>
    <w:p w14:paraId="7D34AC36" w14:textId="77777777" w:rsidR="000A34B3" w:rsidRDefault="000A34B3" w:rsidP="00060B91">
      <w:pPr>
        <w:pStyle w:val="rvps2"/>
        <w:contextualSpacing/>
      </w:pPr>
    </w:p>
    <w:p w14:paraId="68BF97CA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</w:t>
      </w:r>
      <w:r w:rsidR="000A34B3">
        <w:t xml:space="preserve">                                             </w:t>
      </w:r>
      <w:r>
        <w:rPr>
          <w:lang w:val="ru-RU"/>
        </w:rPr>
        <w:t xml:space="preserve"> </w:t>
      </w:r>
      <w:r>
        <w:t>Додаток 1</w:t>
      </w:r>
    </w:p>
    <w:p w14:paraId="192F0A1C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3CA392F6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6A49C972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</w:t>
      </w:r>
      <w:r w:rsidRPr="00E34B37">
        <w:rPr>
          <w:lang w:val="ru-RU"/>
        </w:rPr>
        <w:t>2</w:t>
      </w:r>
      <w:r>
        <w:rPr>
          <w:lang w:val="ru-RU"/>
        </w:rPr>
        <w:t>5</w:t>
      </w:r>
      <w:r>
        <w:t xml:space="preserve"> – 2028</w:t>
      </w:r>
      <w:r w:rsidR="00271E43">
        <w:t xml:space="preserve"> роки</w:t>
      </w:r>
    </w:p>
    <w:p w14:paraId="2BC211B4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4F2DE076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2E08DFF1" w14:textId="77777777" w:rsidR="00060B91" w:rsidRDefault="00060B91" w:rsidP="00060B91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14:paraId="2583E88F" w14:textId="77777777" w:rsidR="00060B91" w:rsidRPr="00783A6D" w:rsidRDefault="00060B91" w:rsidP="00060B91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2025 -2028</w:t>
      </w:r>
      <w:r w:rsidR="00783A6D">
        <w:rPr>
          <w:b/>
          <w:sz w:val="28"/>
          <w:szCs w:val="28"/>
        </w:rPr>
        <w:t xml:space="preserve"> рок</w:t>
      </w:r>
      <w:r w:rsidR="00783A6D">
        <w:rPr>
          <w:b/>
          <w:sz w:val="28"/>
          <w:szCs w:val="28"/>
          <w:lang w:val="uk-UA"/>
        </w:rPr>
        <w:t>и</w:t>
      </w:r>
    </w:p>
    <w:p w14:paraId="507D7EC7" w14:textId="77777777" w:rsidR="00060B91" w:rsidRDefault="00060B91" w:rsidP="00060B91">
      <w:pPr>
        <w:contextualSpacing/>
        <w:jc w:val="center"/>
        <w:rPr>
          <w:b/>
          <w:sz w:val="28"/>
          <w:szCs w:val="28"/>
        </w:rPr>
      </w:pPr>
    </w:p>
    <w:p w14:paraId="79758769" w14:textId="77777777" w:rsidR="00060B91" w:rsidRPr="00593395" w:rsidRDefault="00060B91" w:rsidP="00060B91">
      <w:pPr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1276"/>
        <w:gridCol w:w="1276"/>
        <w:gridCol w:w="1362"/>
        <w:gridCol w:w="1363"/>
        <w:gridCol w:w="2166"/>
      </w:tblGrid>
      <w:tr w:rsidR="00060B91" w14:paraId="465DEB08" w14:textId="77777777" w:rsidTr="0063600A">
        <w:trPr>
          <w:trHeight w:val="135"/>
        </w:trPr>
        <w:tc>
          <w:tcPr>
            <w:tcW w:w="5042" w:type="dxa"/>
            <w:vMerge w:val="restart"/>
          </w:tcPr>
          <w:p w14:paraId="2CD8AF4C" w14:textId="77777777" w:rsidR="00060B91" w:rsidRPr="00593395" w:rsidRDefault="00060B91" w:rsidP="0063600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14:paraId="0FC9BCAC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14:paraId="4957BF97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417FBD" w14:paraId="298C27BA" w14:textId="77777777" w:rsidTr="0063600A">
        <w:trPr>
          <w:trHeight w:val="135"/>
        </w:trPr>
        <w:tc>
          <w:tcPr>
            <w:tcW w:w="5042" w:type="dxa"/>
            <w:vMerge/>
          </w:tcPr>
          <w:p w14:paraId="1C0E7052" w14:textId="77777777" w:rsidR="00060B91" w:rsidRDefault="00060B91" w:rsidP="0063600A"/>
        </w:tc>
        <w:tc>
          <w:tcPr>
            <w:tcW w:w="1750" w:type="dxa"/>
          </w:tcPr>
          <w:p w14:paraId="70F7A82B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67FB642B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0" w:type="dxa"/>
          </w:tcPr>
          <w:p w14:paraId="323EAADA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292D2FE2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84" w:type="dxa"/>
            <w:vMerge/>
          </w:tcPr>
          <w:p w14:paraId="4592BDE7" w14:textId="77777777" w:rsidR="00060B91" w:rsidRDefault="00060B91" w:rsidP="0063600A"/>
        </w:tc>
      </w:tr>
      <w:tr w:rsidR="00417FBD" w:rsidRPr="00D1661D" w14:paraId="3B612F17" w14:textId="77777777" w:rsidTr="0063600A">
        <w:tc>
          <w:tcPr>
            <w:tcW w:w="5042" w:type="dxa"/>
          </w:tcPr>
          <w:p w14:paraId="00DCD820" w14:textId="77777777" w:rsidR="00060B91" w:rsidRPr="00697B26" w:rsidRDefault="00060B91" w:rsidP="00636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(тис. </w:t>
            </w:r>
            <w:proofErr w:type="spellStart"/>
            <w:r w:rsidRPr="00D1661D">
              <w:rPr>
                <w:sz w:val="28"/>
                <w:szCs w:val="28"/>
              </w:rPr>
              <w:t>гривень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35BF707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6A20923F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1 105,2</w:t>
            </w:r>
            <w:r w:rsidR="002B375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50" w:type="dxa"/>
          </w:tcPr>
          <w:p w14:paraId="7E9763E5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10E04B05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07AAB7FE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417FBD" w:rsidRPr="00D1661D" w14:paraId="70083A02" w14:textId="77777777" w:rsidTr="0063600A">
        <w:tc>
          <w:tcPr>
            <w:tcW w:w="5042" w:type="dxa"/>
          </w:tcPr>
          <w:p w14:paraId="1A585874" w14:textId="77777777" w:rsidR="00060B91" w:rsidRPr="00D1661D" w:rsidRDefault="00060B91" w:rsidP="0063600A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у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14:paraId="4A461E7A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7F0BFAF8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09A7F55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0B7B6D76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1923087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</w:tr>
      <w:tr w:rsidR="00417FBD" w14:paraId="72362D63" w14:textId="77777777" w:rsidTr="0063600A">
        <w:tc>
          <w:tcPr>
            <w:tcW w:w="5042" w:type="dxa"/>
          </w:tcPr>
          <w:p w14:paraId="06A63FD6" w14:textId="77777777" w:rsidR="00060B91" w:rsidRPr="00060B91" w:rsidRDefault="00060B91" w:rsidP="0063600A">
            <w:pPr>
              <w:rPr>
                <w:sz w:val="28"/>
                <w:szCs w:val="28"/>
                <w:lang w:val="uk-UA"/>
              </w:rPr>
            </w:pPr>
            <w:r w:rsidRPr="00D1661D">
              <w:rPr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661D">
              <w:rPr>
                <w:sz w:val="28"/>
                <w:szCs w:val="28"/>
              </w:rPr>
              <w:t xml:space="preserve">(тис. </w:t>
            </w:r>
            <w:proofErr w:type="spellStart"/>
            <w:r w:rsidRPr="00D1661D">
              <w:rPr>
                <w:sz w:val="28"/>
                <w:szCs w:val="28"/>
              </w:rPr>
              <w:t>гривень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2EBB7CE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17F7231E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</w:t>
            </w:r>
            <w:r w:rsidR="002B375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50" w:type="dxa"/>
          </w:tcPr>
          <w:p w14:paraId="7F0B0219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645C6EDE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4916292B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14:paraId="237815D8" w14:textId="77777777" w:rsidR="00060B91" w:rsidRDefault="00060B91" w:rsidP="00060B91"/>
    <w:p w14:paraId="50EAC214" w14:textId="77777777" w:rsidR="00060B91" w:rsidRDefault="00060B91" w:rsidP="00060B91">
      <w:pPr>
        <w:pStyle w:val="rvps2"/>
        <w:contextualSpacing/>
      </w:pPr>
      <w:r>
        <w:t xml:space="preserve">                                          </w:t>
      </w:r>
    </w:p>
    <w:p w14:paraId="59246576" w14:textId="77777777" w:rsidR="00060B91" w:rsidRDefault="00060B91" w:rsidP="00060B91">
      <w:pPr>
        <w:pStyle w:val="rvps2"/>
        <w:contextualSpacing/>
      </w:pPr>
    </w:p>
    <w:p w14:paraId="645544CB" w14:textId="77777777" w:rsidR="00783A6D" w:rsidRDefault="00783A6D" w:rsidP="00060B91">
      <w:pPr>
        <w:pStyle w:val="rvps2"/>
        <w:contextualSpacing/>
      </w:pPr>
    </w:p>
    <w:p w14:paraId="363D1349" w14:textId="77777777" w:rsidR="00783A6D" w:rsidRDefault="00783A6D" w:rsidP="00060B91">
      <w:pPr>
        <w:pStyle w:val="rvps2"/>
        <w:contextualSpacing/>
      </w:pPr>
    </w:p>
    <w:p w14:paraId="6019B4CE" w14:textId="77777777" w:rsidR="00783A6D" w:rsidRDefault="00783A6D" w:rsidP="00060B91">
      <w:pPr>
        <w:pStyle w:val="rvps2"/>
        <w:contextualSpacing/>
      </w:pPr>
    </w:p>
    <w:p w14:paraId="553A2225" w14:textId="77777777" w:rsidR="00783A6D" w:rsidRDefault="00783A6D" w:rsidP="00060B91">
      <w:pPr>
        <w:pStyle w:val="rvps2"/>
        <w:contextualSpacing/>
      </w:pPr>
    </w:p>
    <w:p w14:paraId="323CC114" w14:textId="77777777" w:rsidR="00783A6D" w:rsidRDefault="00783A6D" w:rsidP="00060B91">
      <w:pPr>
        <w:pStyle w:val="rvps2"/>
        <w:contextualSpacing/>
      </w:pPr>
    </w:p>
    <w:p w14:paraId="5FC7FBB9" w14:textId="77777777" w:rsidR="00783A6D" w:rsidRDefault="00783A6D" w:rsidP="00060B91">
      <w:pPr>
        <w:pStyle w:val="rvps2"/>
        <w:contextualSpacing/>
      </w:pPr>
    </w:p>
    <w:p w14:paraId="1610D1C9" w14:textId="77777777" w:rsidR="00783A6D" w:rsidRDefault="00783A6D" w:rsidP="00060B91">
      <w:pPr>
        <w:pStyle w:val="rvps2"/>
        <w:contextualSpacing/>
      </w:pPr>
    </w:p>
    <w:p w14:paraId="1E4CBCE0" w14:textId="77777777" w:rsidR="00060B91" w:rsidRDefault="00060B91" w:rsidP="00060B91">
      <w:pPr>
        <w:pStyle w:val="rvps2"/>
        <w:contextualSpacing/>
      </w:pPr>
    </w:p>
    <w:p w14:paraId="00F6A157" w14:textId="77777777" w:rsidR="00783A6D" w:rsidRDefault="00783A6D" w:rsidP="00060B91">
      <w:pPr>
        <w:pStyle w:val="rvps2"/>
        <w:contextualSpacing/>
      </w:pPr>
    </w:p>
    <w:p w14:paraId="1098306B" w14:textId="77777777" w:rsidR="00271E43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</w:t>
      </w:r>
    </w:p>
    <w:p w14:paraId="398639FC" w14:textId="77777777" w:rsidR="00271E43" w:rsidRDefault="00271E43" w:rsidP="00060B91">
      <w:pPr>
        <w:pStyle w:val="rvps2"/>
        <w:contextualSpacing/>
      </w:pPr>
    </w:p>
    <w:p w14:paraId="6D6B57F7" w14:textId="77777777" w:rsidR="00271E43" w:rsidRDefault="00271E43" w:rsidP="00060B91">
      <w:pPr>
        <w:pStyle w:val="rvps2"/>
        <w:contextualSpacing/>
      </w:pPr>
    </w:p>
    <w:p w14:paraId="4A1A97F7" w14:textId="77777777" w:rsidR="00271E43" w:rsidRDefault="00271E43" w:rsidP="00060B91">
      <w:pPr>
        <w:pStyle w:val="rvps2"/>
        <w:contextualSpacing/>
      </w:pPr>
    </w:p>
    <w:p w14:paraId="7944B4AC" w14:textId="77777777" w:rsidR="00271E43" w:rsidRDefault="00271E43" w:rsidP="00060B91">
      <w:pPr>
        <w:pStyle w:val="rvps2"/>
        <w:contextualSpacing/>
      </w:pPr>
    </w:p>
    <w:p w14:paraId="5BD4116F" w14:textId="77777777" w:rsidR="00271E43" w:rsidRDefault="00271E43" w:rsidP="00060B91">
      <w:pPr>
        <w:pStyle w:val="rvps2"/>
        <w:contextualSpacing/>
      </w:pPr>
    </w:p>
    <w:p w14:paraId="71ADBF57" w14:textId="77777777" w:rsidR="00271E43" w:rsidRDefault="00271E43" w:rsidP="00060B91">
      <w:pPr>
        <w:pStyle w:val="rvps2"/>
        <w:contextualSpacing/>
      </w:pPr>
    </w:p>
    <w:p w14:paraId="31925BA7" w14:textId="77777777" w:rsidR="00271E43" w:rsidRDefault="00271E43" w:rsidP="00060B91">
      <w:pPr>
        <w:pStyle w:val="rvps2"/>
        <w:contextualSpacing/>
      </w:pPr>
    </w:p>
    <w:p w14:paraId="56D2D0A3" w14:textId="77777777" w:rsidR="00271E43" w:rsidRDefault="00271E43" w:rsidP="00060B91">
      <w:pPr>
        <w:pStyle w:val="rvps2"/>
        <w:contextualSpacing/>
      </w:pPr>
    </w:p>
    <w:p w14:paraId="709AD52E" w14:textId="77777777" w:rsidR="00060B91" w:rsidRDefault="00271E43" w:rsidP="00271E43">
      <w:pPr>
        <w:pStyle w:val="rvps2"/>
        <w:contextualSpacing/>
      </w:pPr>
      <w:r>
        <w:t xml:space="preserve">  </w:t>
      </w:r>
    </w:p>
    <w:p w14:paraId="7EF128FD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Додаток 2</w:t>
      </w:r>
    </w:p>
    <w:p w14:paraId="04BE65AE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174F69C1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5C98C4AA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</w:t>
      </w:r>
      <w:r w:rsidR="00271E43">
        <w:t xml:space="preserve"> роки</w:t>
      </w:r>
    </w:p>
    <w:p w14:paraId="6BBD8665" w14:textId="77777777" w:rsidR="00783A6D" w:rsidRDefault="00783A6D" w:rsidP="00783A6D">
      <w:pPr>
        <w:pStyle w:val="rvps2"/>
        <w:contextualSpacing/>
        <w:jc w:val="center"/>
      </w:pPr>
    </w:p>
    <w:p w14:paraId="60D9CC52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14:paraId="1E805AE8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14:paraId="3D2C2616" w14:textId="77777777" w:rsidR="00271E43" w:rsidRPr="00271E43" w:rsidRDefault="00783A6D" w:rsidP="00271E43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5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060B91" w14:paraId="3B241C08" w14:textId="77777777" w:rsidTr="00060B91">
        <w:trPr>
          <w:trHeight w:val="383"/>
        </w:trPr>
        <w:tc>
          <w:tcPr>
            <w:tcW w:w="533" w:type="dxa"/>
            <w:vMerge w:val="restart"/>
          </w:tcPr>
          <w:p w14:paraId="61BDEF7C" w14:textId="77777777" w:rsidR="00060B91" w:rsidRPr="0040392E" w:rsidRDefault="00060B91" w:rsidP="00060B91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з/п</w:t>
            </w:r>
          </w:p>
        </w:tc>
        <w:tc>
          <w:tcPr>
            <w:tcW w:w="1843" w:type="dxa"/>
            <w:vMerge w:val="restart"/>
          </w:tcPr>
          <w:p w14:paraId="4E994B8D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123" w:type="dxa"/>
            <w:vMerge w:val="restart"/>
          </w:tcPr>
          <w:p w14:paraId="69F44274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50" w:type="dxa"/>
            <w:vMerge w:val="restart"/>
          </w:tcPr>
          <w:p w14:paraId="5AA63B00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</w:tcPr>
          <w:p w14:paraId="36324731" w14:textId="77777777" w:rsidR="00060B91" w:rsidRPr="00060B91" w:rsidRDefault="00060B91" w:rsidP="00060B9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</w:tcPr>
          <w:p w14:paraId="41E1F49F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14:paraId="14725F17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14:paraId="02B6BB58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276" w:type="dxa"/>
            <w:vMerge w:val="restart"/>
          </w:tcPr>
          <w:p w14:paraId="373DC51C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4536" w:type="dxa"/>
            <w:gridSpan w:val="4"/>
          </w:tcPr>
          <w:p w14:paraId="57BF881B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У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72" w:type="dxa"/>
            <w:vMerge w:val="restart"/>
          </w:tcPr>
          <w:p w14:paraId="69D568D8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060B91" w14:paraId="31A34B3F" w14:textId="77777777" w:rsidTr="00060B91">
        <w:trPr>
          <w:trHeight w:val="382"/>
        </w:trPr>
        <w:tc>
          <w:tcPr>
            <w:tcW w:w="533" w:type="dxa"/>
            <w:vMerge/>
          </w:tcPr>
          <w:p w14:paraId="73543885" w14:textId="77777777" w:rsidR="00060B91" w:rsidRPr="0040392E" w:rsidRDefault="00060B91" w:rsidP="00060B9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14:paraId="01092973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2123" w:type="dxa"/>
            <w:vMerge/>
          </w:tcPr>
          <w:p w14:paraId="5787E03E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50" w:type="dxa"/>
            <w:vMerge/>
          </w:tcPr>
          <w:p w14:paraId="12B27E99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14:paraId="64AF6AE1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38A41587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14:paraId="09DAA314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</w:tcPr>
          <w:p w14:paraId="23AEF13C" w14:textId="77777777" w:rsidR="002F6128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 w:rsidR="002F6128">
              <w:rPr>
                <w:b/>
                <w:lang w:val="uk-UA"/>
              </w:rPr>
              <w:t>р.</w:t>
            </w:r>
          </w:p>
          <w:p w14:paraId="096962C4" w14:textId="77777777" w:rsidR="00060B91" w:rsidRPr="002F6128" w:rsidRDefault="002F6128" w:rsidP="002F6128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2AFEB61F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089D9097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1FC0B5B8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672" w:type="dxa"/>
            <w:vMerge/>
          </w:tcPr>
          <w:p w14:paraId="3F08048C" w14:textId="77777777" w:rsidR="00060B91" w:rsidRPr="0040392E" w:rsidRDefault="00060B91" w:rsidP="00060B91">
            <w:pPr>
              <w:rPr>
                <w:b/>
              </w:rPr>
            </w:pPr>
          </w:p>
        </w:tc>
      </w:tr>
      <w:tr w:rsidR="00060B91" w14:paraId="46ACE0CC" w14:textId="77777777" w:rsidTr="00060B91">
        <w:tc>
          <w:tcPr>
            <w:tcW w:w="533" w:type="dxa"/>
          </w:tcPr>
          <w:p w14:paraId="608A884D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</w:t>
            </w:r>
          </w:p>
        </w:tc>
        <w:tc>
          <w:tcPr>
            <w:tcW w:w="1843" w:type="dxa"/>
          </w:tcPr>
          <w:p w14:paraId="3D9BD8B3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123" w:type="dxa"/>
          </w:tcPr>
          <w:p w14:paraId="1ED525FE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50" w:type="dxa"/>
          </w:tcPr>
          <w:p w14:paraId="721F4861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417" w:type="dxa"/>
          </w:tcPr>
          <w:p w14:paraId="3528998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34" w:type="dxa"/>
          </w:tcPr>
          <w:p w14:paraId="719716F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76" w:type="dxa"/>
          </w:tcPr>
          <w:p w14:paraId="4C595879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A40A47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B03FC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44AB3E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34" w:type="dxa"/>
          </w:tcPr>
          <w:p w14:paraId="506A5B6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72" w:type="dxa"/>
          </w:tcPr>
          <w:p w14:paraId="1B41CEF2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060B91" w14:paraId="40AE918C" w14:textId="77777777" w:rsidTr="00060B91">
        <w:tc>
          <w:tcPr>
            <w:tcW w:w="533" w:type="dxa"/>
          </w:tcPr>
          <w:p w14:paraId="7138C580" w14:textId="77777777" w:rsidR="00060B91" w:rsidRPr="00D660D3" w:rsidRDefault="00060B91" w:rsidP="00060B9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9FDC613" w14:textId="77777777" w:rsidR="00060B91" w:rsidRPr="00E452B3" w:rsidRDefault="00060B91" w:rsidP="00060B91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r w:rsidRPr="00E452B3">
              <w:t>матеріально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lastRenderedPageBreak/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</w:p>
        </w:tc>
        <w:tc>
          <w:tcPr>
            <w:tcW w:w="2123" w:type="dxa"/>
          </w:tcPr>
          <w:p w14:paraId="07A48313" w14:textId="77777777" w:rsidR="00060B91" w:rsidRPr="003B02A3" w:rsidRDefault="00060B91" w:rsidP="00060B91">
            <w:proofErr w:type="spellStart"/>
            <w:r>
              <w:lastRenderedPageBreak/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для  Березнянської </w:t>
            </w:r>
            <w:r>
              <w:lastRenderedPageBreak/>
              <w:t xml:space="preserve">ЛА ЗПСМ з метою надання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450" w:type="dxa"/>
          </w:tcPr>
          <w:p w14:paraId="4D451DE8" w14:textId="77777777" w:rsidR="00060B91" w:rsidRPr="00D660D3" w:rsidRDefault="00060B91" w:rsidP="00060B91">
            <w:pPr>
              <w:jc w:val="center"/>
            </w:pPr>
            <w:r>
              <w:lastRenderedPageBreak/>
              <w:t>202</w:t>
            </w:r>
            <w:r w:rsidR="002B3756">
              <w:t>5-202</w:t>
            </w:r>
            <w:r w:rsidR="002B3756"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417" w:type="dxa"/>
          </w:tcPr>
          <w:p w14:paraId="6F993B59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6486BF03" w14:textId="77777777" w:rsidR="00060B91" w:rsidRPr="00B81CC4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r>
              <w:t>Березнянської ТГ</w:t>
            </w:r>
          </w:p>
        </w:tc>
        <w:tc>
          <w:tcPr>
            <w:tcW w:w="1276" w:type="dxa"/>
          </w:tcPr>
          <w:p w14:paraId="205AD5B2" w14:textId="77777777" w:rsidR="00060B91" w:rsidRPr="00111E99" w:rsidRDefault="00060B91" w:rsidP="00060B91">
            <w:pPr>
              <w:jc w:val="center"/>
              <w:rPr>
                <w:highlight w:val="yellow"/>
              </w:rPr>
            </w:pPr>
          </w:p>
          <w:p w14:paraId="57C4CDF4" w14:textId="77777777" w:rsidR="00060B91" w:rsidRPr="00783A6D" w:rsidRDefault="00697B2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1DDDA3" w14:textId="77777777" w:rsidR="00060B91" w:rsidRPr="0080746C" w:rsidRDefault="00060B91" w:rsidP="00060B91">
            <w:pPr>
              <w:jc w:val="center"/>
            </w:pPr>
          </w:p>
          <w:p w14:paraId="78CC8171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8EB3FA" w14:textId="77777777" w:rsidR="00060B91" w:rsidRPr="0080746C" w:rsidRDefault="00060B91" w:rsidP="00060B91">
            <w:pPr>
              <w:jc w:val="center"/>
            </w:pPr>
          </w:p>
          <w:p w14:paraId="759B5542" w14:textId="77777777" w:rsidR="00060B91" w:rsidRPr="00783A6D" w:rsidRDefault="00783A6D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22C434" w14:textId="77777777" w:rsidR="00060B91" w:rsidRPr="0080746C" w:rsidRDefault="00060B91" w:rsidP="00060B91">
            <w:pPr>
              <w:jc w:val="center"/>
            </w:pPr>
          </w:p>
          <w:p w14:paraId="47CDE937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78B327" w14:textId="77777777" w:rsidR="00060B91" w:rsidRDefault="00060B91" w:rsidP="00060B91">
            <w:pPr>
              <w:jc w:val="center"/>
            </w:pPr>
          </w:p>
          <w:p w14:paraId="4E7DC6A5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,8</w:t>
            </w:r>
          </w:p>
        </w:tc>
        <w:tc>
          <w:tcPr>
            <w:tcW w:w="1672" w:type="dxa"/>
          </w:tcPr>
          <w:p w14:paraId="4A3A7BDC" w14:textId="77777777" w:rsidR="00060B91" w:rsidRPr="00F40889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скринінговихдосліджень</w:t>
            </w:r>
            <w:proofErr w:type="spellEnd"/>
            <w:r>
              <w:t xml:space="preserve"> з метою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діагностики</w:t>
            </w:r>
            <w:proofErr w:type="spellEnd"/>
            <w:r w:rsidRPr="00220840">
              <w:t xml:space="preserve"> </w:t>
            </w:r>
            <w:proofErr w:type="spellStart"/>
            <w:r w:rsidRPr="00220840">
              <w:t>захворювань</w:t>
            </w:r>
            <w:proofErr w:type="spellEnd"/>
            <w:r w:rsidRPr="00220840">
              <w:t>,</w:t>
            </w:r>
            <w:r>
              <w:t xml:space="preserve"> </w:t>
            </w:r>
            <w:proofErr w:type="spellStart"/>
            <w:r w:rsidRPr="00831755">
              <w:t>зни</w:t>
            </w:r>
            <w:r>
              <w:t>ження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показників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смертності</w:t>
            </w:r>
            <w:proofErr w:type="spellEnd"/>
            <w:r w:rsidRPr="00831755">
              <w:t xml:space="preserve"> та </w:t>
            </w:r>
            <w:proofErr w:type="spellStart"/>
            <w:r w:rsidRPr="00831755">
              <w:t>інвалідності</w:t>
            </w:r>
            <w:proofErr w:type="spellEnd"/>
            <w:r w:rsidRPr="00831755">
              <w:t xml:space="preserve"> </w:t>
            </w:r>
          </w:p>
        </w:tc>
      </w:tr>
      <w:tr w:rsidR="00060B91" w14:paraId="3CD83CC2" w14:textId="77777777" w:rsidTr="00271E43">
        <w:trPr>
          <w:trHeight w:val="2401"/>
        </w:trPr>
        <w:tc>
          <w:tcPr>
            <w:tcW w:w="533" w:type="dxa"/>
          </w:tcPr>
          <w:p w14:paraId="04126D8C" w14:textId="77777777" w:rsidR="00060B91" w:rsidRPr="00D660D3" w:rsidRDefault="00060B91" w:rsidP="00060B91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14:paraId="5201447D" w14:textId="77777777" w:rsidR="00060B91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15AD44D5" w14:textId="77777777" w:rsidR="00060B91" w:rsidRDefault="00060B91" w:rsidP="00060B91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r>
              <w:t>поточного ремонту</w:t>
            </w:r>
            <w:r w:rsidRPr="00E34B37">
              <w:t xml:space="preserve"> у </w:t>
            </w:r>
            <w:r>
              <w:t>Березнянській ЛА ЗПСМ</w:t>
            </w:r>
            <w:r w:rsidRPr="00E34B37">
              <w:t xml:space="preserve"> </w:t>
            </w:r>
          </w:p>
        </w:tc>
        <w:tc>
          <w:tcPr>
            <w:tcW w:w="1450" w:type="dxa"/>
          </w:tcPr>
          <w:p w14:paraId="3336558E" w14:textId="77777777" w:rsidR="00060B91" w:rsidRPr="00D660D3" w:rsidRDefault="002B3756" w:rsidP="00060B91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="00060B91" w:rsidRPr="00D660D3">
              <w:t>р</w:t>
            </w:r>
            <w:r w:rsidR="00060B91">
              <w:t>оки</w:t>
            </w:r>
          </w:p>
        </w:tc>
        <w:tc>
          <w:tcPr>
            <w:tcW w:w="1417" w:type="dxa"/>
          </w:tcPr>
          <w:p w14:paraId="467CE893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40F32DE3" w14:textId="77777777" w:rsidR="00060B91" w:rsidRPr="00C160CD" w:rsidRDefault="00060B91" w:rsidP="00060B91">
            <w:pPr>
              <w:jc w:val="center"/>
            </w:pPr>
            <w:proofErr w:type="spellStart"/>
            <w:r w:rsidRPr="00F05EA6">
              <w:t>кошти</w:t>
            </w:r>
            <w:proofErr w:type="spellEnd"/>
            <w:r w:rsidRPr="00F05EA6">
              <w:t xml:space="preserve">  Березнянської ТГ</w:t>
            </w:r>
          </w:p>
        </w:tc>
        <w:tc>
          <w:tcPr>
            <w:tcW w:w="1276" w:type="dxa"/>
          </w:tcPr>
          <w:p w14:paraId="4C34392D" w14:textId="77777777" w:rsidR="00060B91" w:rsidRPr="0080746C" w:rsidRDefault="00060B91" w:rsidP="00060B91">
            <w:pPr>
              <w:jc w:val="center"/>
            </w:pPr>
          </w:p>
          <w:p w14:paraId="0A8259C7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BAE662" w14:textId="77777777" w:rsidR="00060B91" w:rsidRPr="0080746C" w:rsidRDefault="00060B91" w:rsidP="00060B91">
            <w:pPr>
              <w:jc w:val="center"/>
            </w:pPr>
          </w:p>
          <w:p w14:paraId="2E251532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AADF9A" w14:textId="77777777" w:rsidR="00060B91" w:rsidRPr="0080746C" w:rsidRDefault="00060B91" w:rsidP="00060B91">
            <w:pPr>
              <w:jc w:val="center"/>
            </w:pPr>
          </w:p>
          <w:p w14:paraId="3950F8E1" w14:textId="77777777" w:rsidR="00060B91" w:rsidRPr="00783A6D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6892B9" w14:textId="77777777" w:rsidR="00060B91" w:rsidRPr="0080746C" w:rsidRDefault="00060B91" w:rsidP="00060B91">
            <w:pPr>
              <w:jc w:val="center"/>
            </w:pPr>
          </w:p>
          <w:p w14:paraId="30D1ABE2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134" w:type="dxa"/>
          </w:tcPr>
          <w:p w14:paraId="76BBCD7F" w14:textId="77777777" w:rsidR="00060B91" w:rsidRPr="0080746C" w:rsidRDefault="00060B91" w:rsidP="00060B91">
            <w:pPr>
              <w:jc w:val="center"/>
            </w:pPr>
          </w:p>
          <w:p w14:paraId="1DC77D85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672" w:type="dxa"/>
          </w:tcPr>
          <w:p w14:paraId="09271EE0" w14:textId="77777777" w:rsidR="00060B91" w:rsidRDefault="00060B91" w:rsidP="00060B91">
            <w:proofErr w:type="spell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</w:p>
        </w:tc>
      </w:tr>
      <w:tr w:rsidR="00060B91" w14:paraId="3284114C" w14:textId="77777777" w:rsidTr="00060B91">
        <w:trPr>
          <w:trHeight w:val="1209"/>
        </w:trPr>
        <w:tc>
          <w:tcPr>
            <w:tcW w:w="533" w:type="dxa"/>
          </w:tcPr>
          <w:p w14:paraId="4E9FBFF5" w14:textId="77777777" w:rsidR="00060B91" w:rsidRDefault="00060B91" w:rsidP="00060B91">
            <w:pPr>
              <w:jc w:val="center"/>
            </w:pPr>
          </w:p>
        </w:tc>
        <w:tc>
          <w:tcPr>
            <w:tcW w:w="1843" w:type="dxa"/>
          </w:tcPr>
          <w:p w14:paraId="6193FFE8" w14:textId="77777777" w:rsidR="00060B91" w:rsidRDefault="00060B91" w:rsidP="00060B91"/>
        </w:tc>
        <w:tc>
          <w:tcPr>
            <w:tcW w:w="2123" w:type="dxa"/>
          </w:tcPr>
          <w:p w14:paraId="05CD4253" w14:textId="77777777" w:rsidR="00060B91" w:rsidRPr="00E34B37" w:rsidRDefault="00060B91" w:rsidP="00060B91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Березнянської ЛА ЗПСМ</w:t>
            </w:r>
          </w:p>
        </w:tc>
        <w:tc>
          <w:tcPr>
            <w:tcW w:w="1450" w:type="dxa"/>
          </w:tcPr>
          <w:p w14:paraId="2E7611DE" w14:textId="77777777" w:rsidR="00060B91" w:rsidRDefault="00060B91" w:rsidP="00060B91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417" w:type="dxa"/>
          </w:tcPr>
          <w:p w14:paraId="02982F78" w14:textId="77777777" w:rsidR="00060B91" w:rsidRPr="00D660D3" w:rsidRDefault="00060B91" w:rsidP="00060B91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34" w:type="dxa"/>
          </w:tcPr>
          <w:p w14:paraId="2361BC74" w14:textId="77777777" w:rsidR="00060B91" w:rsidRPr="003C255A" w:rsidRDefault="00060B91" w:rsidP="00060B91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778767E9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</w:t>
            </w:r>
          </w:p>
        </w:tc>
        <w:tc>
          <w:tcPr>
            <w:tcW w:w="1134" w:type="dxa"/>
          </w:tcPr>
          <w:p w14:paraId="20AA4836" w14:textId="77777777" w:rsidR="00060B91" w:rsidRPr="00697B26" w:rsidRDefault="002B375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</w:tcPr>
          <w:p w14:paraId="3FA10F1E" w14:textId="77777777" w:rsidR="00060B91" w:rsidRPr="00783A6D" w:rsidRDefault="002B3756" w:rsidP="002F6128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</w:t>
            </w:r>
            <w:r w:rsidR="00783A6D">
              <w:rPr>
                <w:lang w:val="uk-UA"/>
              </w:rPr>
              <w:t xml:space="preserve">90 </w:t>
            </w:r>
          </w:p>
        </w:tc>
        <w:tc>
          <w:tcPr>
            <w:tcW w:w="1134" w:type="dxa"/>
          </w:tcPr>
          <w:p w14:paraId="20CDC106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0</w:t>
            </w:r>
            <w:r w:rsidR="00060B91">
              <w:t xml:space="preserve">0 </w:t>
            </w:r>
          </w:p>
        </w:tc>
        <w:tc>
          <w:tcPr>
            <w:tcW w:w="1134" w:type="dxa"/>
            <w:tcBorders>
              <w:top w:val="nil"/>
            </w:tcBorders>
          </w:tcPr>
          <w:p w14:paraId="1072D5D4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10</w:t>
            </w:r>
          </w:p>
        </w:tc>
        <w:tc>
          <w:tcPr>
            <w:tcW w:w="1672" w:type="dxa"/>
          </w:tcPr>
          <w:p w14:paraId="2081E6E8" w14:textId="77777777" w:rsidR="00060B91" w:rsidRDefault="00060B91" w:rsidP="00060B91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у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060B91" w14:paraId="30C12FA9" w14:textId="77777777" w:rsidTr="00060B91">
        <w:tc>
          <w:tcPr>
            <w:tcW w:w="533" w:type="dxa"/>
          </w:tcPr>
          <w:p w14:paraId="0F98613C" w14:textId="77777777" w:rsidR="00060B91" w:rsidRPr="00D660D3" w:rsidRDefault="00060B91" w:rsidP="00060B9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63D6FF5B" w14:textId="77777777" w:rsidR="00060B91" w:rsidRPr="00E452B3" w:rsidRDefault="00060B91" w:rsidP="00060B91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основі</w:t>
            </w:r>
          </w:p>
        </w:tc>
        <w:tc>
          <w:tcPr>
            <w:tcW w:w="2123" w:type="dxa"/>
          </w:tcPr>
          <w:p w14:paraId="4A0F279D" w14:textId="77777777" w:rsidR="00060B91" w:rsidRPr="00CB1E1F" w:rsidRDefault="00060B91" w:rsidP="00060B91">
            <w:r w:rsidRPr="00060B91">
              <w:rPr>
                <w:lang w:val="uk-UA"/>
              </w:rPr>
              <w:t xml:space="preserve">Забезпечення пільгових категорій населення, в т.ч. ветеранів, хворих з окремими захворюваннями (онкологічних хворих, пацієнтів з хворобою </w:t>
            </w:r>
            <w:proofErr w:type="spellStart"/>
            <w:r w:rsidRPr="00CB1E1F">
              <w:t>Паркінсона</w:t>
            </w:r>
            <w:proofErr w:type="spellEnd"/>
            <w:r w:rsidRPr="00CB1E1F">
              <w:t xml:space="preserve">,  </w:t>
            </w:r>
            <w:proofErr w:type="spellStart"/>
            <w:r>
              <w:t>хворих</w:t>
            </w:r>
            <w:proofErr w:type="spellEnd"/>
            <w:r w:rsidRPr="00CB1E1F">
              <w:t xml:space="preserve"> на </w:t>
            </w:r>
            <w:proofErr w:type="spellStart"/>
            <w:r w:rsidRPr="00CB1E1F">
              <w:t>епілепсію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тощо</w:t>
            </w:r>
            <w:proofErr w:type="spellEnd"/>
            <w:r w:rsidRPr="00CB1E1F">
              <w:t>)</w:t>
            </w:r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 w:rsidRPr="00CB1E1F">
              <w:t xml:space="preserve"> в </w:t>
            </w:r>
            <w:proofErr w:type="spellStart"/>
            <w:r w:rsidRPr="00CB1E1F">
              <w:t>амбулаторних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умовах</w:t>
            </w:r>
            <w:proofErr w:type="spellEnd"/>
          </w:p>
        </w:tc>
        <w:tc>
          <w:tcPr>
            <w:tcW w:w="1450" w:type="dxa"/>
          </w:tcPr>
          <w:p w14:paraId="426F9EE8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4F300133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7FAACFF9" w14:textId="77777777" w:rsidR="00060B91" w:rsidRDefault="00060B91" w:rsidP="00060B91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56F98A7A" w14:textId="77777777" w:rsidR="00060B91" w:rsidRPr="005132A0" w:rsidRDefault="00060B91" w:rsidP="00060B91">
            <w:pPr>
              <w:jc w:val="center"/>
            </w:pPr>
          </w:p>
          <w:p w14:paraId="3E425073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134" w:type="dxa"/>
          </w:tcPr>
          <w:p w14:paraId="1115155C" w14:textId="77777777" w:rsidR="00060B91" w:rsidRPr="005132A0" w:rsidRDefault="00060B91" w:rsidP="00060B91">
            <w:pPr>
              <w:jc w:val="center"/>
            </w:pPr>
          </w:p>
          <w:p w14:paraId="70E12C22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40</w:t>
            </w:r>
            <w:r w:rsidR="00697B26">
              <w:t> </w:t>
            </w:r>
          </w:p>
        </w:tc>
        <w:tc>
          <w:tcPr>
            <w:tcW w:w="1134" w:type="dxa"/>
          </w:tcPr>
          <w:p w14:paraId="0966F9A9" w14:textId="77777777" w:rsidR="00060B91" w:rsidRPr="005132A0" w:rsidRDefault="00060B91" w:rsidP="00060B91">
            <w:pPr>
              <w:jc w:val="center"/>
            </w:pPr>
          </w:p>
          <w:p w14:paraId="4E846BAF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4924079E" w14:textId="77777777" w:rsidR="00060B91" w:rsidRPr="005132A0" w:rsidRDefault="00060B91" w:rsidP="00060B91">
            <w:pPr>
              <w:jc w:val="center"/>
            </w:pPr>
          </w:p>
          <w:p w14:paraId="06451996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23F33329" w14:textId="77777777" w:rsidR="00060B91" w:rsidRPr="005132A0" w:rsidRDefault="00060B91" w:rsidP="00060B91">
            <w:pPr>
              <w:jc w:val="center"/>
            </w:pPr>
          </w:p>
          <w:p w14:paraId="43FE710E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672" w:type="dxa"/>
          </w:tcPr>
          <w:p w14:paraId="1343F2AA" w14:textId="77777777" w:rsidR="00060B91" w:rsidRPr="00CB1E1F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пільгових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населення</w:t>
            </w:r>
            <w:proofErr w:type="spellEnd"/>
          </w:p>
        </w:tc>
      </w:tr>
      <w:tr w:rsidR="00060B91" w14:paraId="6E3679D0" w14:textId="77777777" w:rsidTr="00060B91">
        <w:tc>
          <w:tcPr>
            <w:tcW w:w="533" w:type="dxa"/>
          </w:tcPr>
          <w:p w14:paraId="7E4E404E" w14:textId="77777777" w:rsidR="00060B91" w:rsidRDefault="00060B91" w:rsidP="00060B9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B05EF58" w14:textId="77777777" w:rsidR="00060B91" w:rsidRPr="00831755" w:rsidRDefault="00060B91" w:rsidP="00060B91">
            <w:proofErr w:type="spellStart"/>
            <w:r>
              <w:t>З</w:t>
            </w:r>
            <w:r w:rsidRPr="003B02A3">
              <w:t>абезпечення</w:t>
            </w:r>
            <w:proofErr w:type="spellEnd"/>
            <w:r w:rsidRPr="003B02A3"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 </w:t>
            </w:r>
            <w:proofErr w:type="spellStart"/>
            <w:r>
              <w:t>технічними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</w:p>
        </w:tc>
        <w:tc>
          <w:tcPr>
            <w:tcW w:w="2123" w:type="dxa"/>
          </w:tcPr>
          <w:p w14:paraId="4DBBB1F3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технічних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засобів</w:t>
            </w:r>
            <w:proofErr w:type="spellEnd"/>
            <w:r>
              <w:t xml:space="preserve"> (</w:t>
            </w:r>
            <w:proofErr w:type="spellStart"/>
            <w:r>
              <w:t>калоприймачів</w:t>
            </w:r>
            <w:proofErr w:type="spellEnd"/>
            <w:r>
              <w:t xml:space="preserve">, </w:t>
            </w:r>
            <w:proofErr w:type="spellStart"/>
            <w:r>
              <w:t>підгузків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відповідно</w:t>
            </w:r>
            <w:proofErr w:type="spellEnd"/>
            <w:r>
              <w:t xml:space="preserve"> до потреби </w:t>
            </w:r>
          </w:p>
        </w:tc>
        <w:tc>
          <w:tcPr>
            <w:tcW w:w="1450" w:type="dxa"/>
          </w:tcPr>
          <w:p w14:paraId="34A68CD9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747624F0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73740FA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4689A5A1" w14:textId="77777777" w:rsidR="00060B91" w:rsidRPr="0068294D" w:rsidRDefault="00060B91" w:rsidP="00060B91">
            <w:pPr>
              <w:jc w:val="center"/>
            </w:pPr>
          </w:p>
          <w:p w14:paraId="29A3E63C" w14:textId="77777777" w:rsidR="00060B91" w:rsidRPr="0068294D" w:rsidRDefault="00060B91" w:rsidP="00060B91">
            <w:pPr>
              <w:jc w:val="center"/>
            </w:pPr>
          </w:p>
          <w:p w14:paraId="0FC44FFC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50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3D3542" w14:textId="77777777" w:rsidR="00060B91" w:rsidRPr="0068294D" w:rsidRDefault="00060B91" w:rsidP="00060B91">
            <w:pPr>
              <w:jc w:val="center"/>
            </w:pPr>
          </w:p>
          <w:p w14:paraId="3C312674" w14:textId="77777777" w:rsidR="00060B91" w:rsidRPr="0068294D" w:rsidRDefault="00060B91" w:rsidP="00060B91">
            <w:pPr>
              <w:jc w:val="center"/>
            </w:pPr>
          </w:p>
          <w:p w14:paraId="449D052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10</w:t>
            </w:r>
            <w:r w:rsidR="002F6128">
              <w:t xml:space="preserve"> </w:t>
            </w:r>
          </w:p>
          <w:p w14:paraId="56DCBC22" w14:textId="77777777" w:rsidR="00060B91" w:rsidRPr="0068294D" w:rsidRDefault="00060B91" w:rsidP="00060B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2A38F1" w14:textId="77777777" w:rsidR="00060B91" w:rsidRDefault="00060B91" w:rsidP="00060B91">
            <w:pPr>
              <w:jc w:val="center"/>
            </w:pPr>
          </w:p>
          <w:p w14:paraId="07D77887" w14:textId="77777777" w:rsidR="00060B91" w:rsidRDefault="00060B91" w:rsidP="00060B91">
            <w:pPr>
              <w:jc w:val="center"/>
            </w:pPr>
          </w:p>
          <w:p w14:paraId="703799F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1BCC5E" w14:textId="77777777" w:rsidR="00060B91" w:rsidRDefault="00060B91" w:rsidP="00060B91">
            <w:pPr>
              <w:jc w:val="center"/>
            </w:pPr>
          </w:p>
          <w:p w14:paraId="657BE805" w14:textId="77777777" w:rsidR="00060B91" w:rsidRDefault="00060B91" w:rsidP="00060B91">
            <w:pPr>
              <w:jc w:val="center"/>
            </w:pPr>
          </w:p>
          <w:p w14:paraId="5D80F8A8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03400" w14:textId="77777777" w:rsidR="00060B91" w:rsidRDefault="00060B91" w:rsidP="00060B91">
            <w:pPr>
              <w:jc w:val="center"/>
            </w:pPr>
          </w:p>
          <w:p w14:paraId="4967BE37" w14:textId="77777777" w:rsidR="00060B91" w:rsidRDefault="00060B91" w:rsidP="00060B91">
            <w:pPr>
              <w:jc w:val="center"/>
            </w:pPr>
          </w:p>
          <w:p w14:paraId="2BF91222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</w:t>
            </w:r>
          </w:p>
        </w:tc>
        <w:tc>
          <w:tcPr>
            <w:tcW w:w="1672" w:type="dxa"/>
          </w:tcPr>
          <w:p w14:paraId="0D396724" w14:textId="77777777" w:rsidR="00060B91" w:rsidRPr="00914B0F" w:rsidRDefault="00060B91" w:rsidP="00060B91">
            <w:proofErr w:type="spellStart"/>
            <w:r w:rsidRPr="00914B0F">
              <w:t>Покращення</w:t>
            </w:r>
            <w:proofErr w:type="spellEnd"/>
            <w:r w:rsidRPr="00914B0F"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</w:t>
            </w:r>
          </w:p>
        </w:tc>
      </w:tr>
      <w:tr w:rsidR="00060B91" w14:paraId="2B9B45C2" w14:textId="77777777" w:rsidTr="00060B91">
        <w:tc>
          <w:tcPr>
            <w:tcW w:w="533" w:type="dxa"/>
          </w:tcPr>
          <w:p w14:paraId="3AEC0112" w14:textId="77777777" w:rsidR="00060B91" w:rsidRDefault="00060B91" w:rsidP="00060B91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0AF1E795" w14:textId="77777777" w:rsidR="00060B91" w:rsidRDefault="00060B91" w:rsidP="00060B91"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</w:p>
        </w:tc>
        <w:tc>
          <w:tcPr>
            <w:tcW w:w="2123" w:type="dxa"/>
          </w:tcPr>
          <w:p w14:paraId="7D4E0303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>
              <w:t>туберкуліну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туберкулінодіа</w:t>
            </w:r>
            <w:proofErr w:type="spellEnd"/>
            <w:r>
              <w:t xml:space="preserve">-гностики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проживає</w:t>
            </w:r>
            <w:proofErr w:type="spellEnd"/>
            <w:r>
              <w:t xml:space="preserve"> на </w:t>
            </w:r>
            <w:proofErr w:type="spellStart"/>
            <w:r>
              <w:lastRenderedPageBreak/>
              <w:t>території</w:t>
            </w:r>
            <w:proofErr w:type="spellEnd"/>
            <w:r>
              <w:t xml:space="preserve"> Березнянської ТГ</w:t>
            </w:r>
          </w:p>
        </w:tc>
        <w:tc>
          <w:tcPr>
            <w:tcW w:w="1450" w:type="dxa"/>
          </w:tcPr>
          <w:p w14:paraId="34D679A9" w14:textId="77777777" w:rsidR="00060B91" w:rsidRDefault="00060B91" w:rsidP="00060B91">
            <w:r w:rsidRPr="00DC7F54">
              <w:lastRenderedPageBreak/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23060DB5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A488CE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0C5263F2" w14:textId="77777777" w:rsidR="00060B91" w:rsidRDefault="00060B91" w:rsidP="00060B91">
            <w:pPr>
              <w:jc w:val="center"/>
            </w:pPr>
          </w:p>
          <w:p w14:paraId="4FD0EF3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1D75E294" w14:textId="77777777" w:rsidR="00060B91" w:rsidRDefault="00060B91" w:rsidP="00060B91">
            <w:pPr>
              <w:jc w:val="center"/>
            </w:pPr>
          </w:p>
          <w:p w14:paraId="4E821A30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703375C8" w14:textId="77777777" w:rsidR="00060B91" w:rsidRDefault="00060B91" w:rsidP="00060B91">
            <w:pPr>
              <w:jc w:val="center"/>
            </w:pPr>
          </w:p>
          <w:p w14:paraId="013A6B67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3936F7B4" w14:textId="77777777" w:rsidR="00060B91" w:rsidRDefault="00060B91" w:rsidP="00060B91">
            <w:pPr>
              <w:jc w:val="center"/>
            </w:pPr>
          </w:p>
          <w:p w14:paraId="0CC99175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DDE503" w14:textId="77777777" w:rsidR="00060B91" w:rsidRDefault="00060B91" w:rsidP="00060B91">
            <w:pPr>
              <w:jc w:val="center"/>
            </w:pPr>
          </w:p>
          <w:p w14:paraId="7AA75DB5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1C2DCBF" w14:textId="77777777" w:rsidR="00060B91" w:rsidRPr="00831755" w:rsidRDefault="00060B91" w:rsidP="00060B91">
            <w:proofErr w:type="spellStart"/>
            <w:r>
              <w:t>Поліпшення</w:t>
            </w:r>
            <w:proofErr w:type="spellEnd"/>
            <w:r w:rsidRPr="00831755">
              <w:t xml:space="preserve"> стан</w:t>
            </w:r>
            <w:r>
              <w:t xml:space="preserve">у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туберкульозу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  <w:tr w:rsidR="00060B91" w14:paraId="48F73D51" w14:textId="77777777" w:rsidTr="00060B91">
        <w:tc>
          <w:tcPr>
            <w:tcW w:w="533" w:type="dxa"/>
          </w:tcPr>
          <w:p w14:paraId="7ECFEA0F" w14:textId="77777777" w:rsidR="00060B91" w:rsidRDefault="00060B91" w:rsidP="00060B91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14:paraId="09533657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першого року життя, народжених ВІЛ-позитивними жінками, дитячим харчуванням.</w:t>
            </w:r>
          </w:p>
        </w:tc>
        <w:tc>
          <w:tcPr>
            <w:tcW w:w="2123" w:type="dxa"/>
            <w:shd w:val="clear" w:color="auto" w:fill="auto"/>
          </w:tcPr>
          <w:p w14:paraId="585868DE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Придбання адаптованих молочних сумішей «Малютка».</w:t>
            </w:r>
          </w:p>
        </w:tc>
        <w:tc>
          <w:tcPr>
            <w:tcW w:w="1450" w:type="dxa"/>
            <w:shd w:val="clear" w:color="auto" w:fill="auto"/>
          </w:tcPr>
          <w:p w14:paraId="52BBEE81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417" w:type="dxa"/>
            <w:shd w:val="clear" w:color="auto" w:fill="auto"/>
          </w:tcPr>
          <w:p w14:paraId="0EB9AD3F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  <w:shd w:val="clear" w:color="auto" w:fill="auto"/>
          </w:tcPr>
          <w:p w14:paraId="04381053" w14:textId="77777777" w:rsidR="00060B91" w:rsidRPr="002F6128" w:rsidRDefault="00060B91" w:rsidP="00060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кошти Березнянської ТГ</w:t>
            </w:r>
          </w:p>
        </w:tc>
        <w:tc>
          <w:tcPr>
            <w:tcW w:w="1276" w:type="dxa"/>
          </w:tcPr>
          <w:p w14:paraId="75D6E9BC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12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50D1CA3B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1B4819DE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38152AB9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14C33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A91DDCF" w14:textId="77777777" w:rsidR="00060B91" w:rsidRPr="005C4D5B" w:rsidRDefault="00060B91" w:rsidP="00060B91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ВІЛ-</w:t>
            </w:r>
            <w:proofErr w:type="spellStart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дитини.</w:t>
            </w:r>
          </w:p>
        </w:tc>
      </w:tr>
      <w:tr w:rsidR="00060B91" w14:paraId="19AF520E" w14:textId="77777777" w:rsidTr="00060B91">
        <w:tc>
          <w:tcPr>
            <w:tcW w:w="533" w:type="dxa"/>
          </w:tcPr>
          <w:p w14:paraId="4FF834A6" w14:textId="77777777" w:rsidR="00060B91" w:rsidRPr="00D660D3" w:rsidRDefault="00060B91" w:rsidP="00060B9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0008B78C" w14:textId="77777777" w:rsidR="00060B91" w:rsidRPr="00783A6D" w:rsidRDefault="00060B91" w:rsidP="00271E43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r w:rsidRPr="003B02A3">
              <w:t>праці</w:t>
            </w:r>
            <w:proofErr w:type="spellEnd"/>
            <w:r w:rsidR="00783A6D">
              <w:rPr>
                <w:lang w:val="uk-UA"/>
              </w:rPr>
              <w:t xml:space="preserve"> </w:t>
            </w:r>
            <w:r w:rsidR="002F6128">
              <w:rPr>
                <w:lang w:val="uk-UA"/>
              </w:rPr>
              <w:t xml:space="preserve"> та додаткових </w:t>
            </w:r>
            <w:r w:rsidR="00271E43">
              <w:rPr>
                <w:lang w:val="uk-UA"/>
              </w:rPr>
              <w:t xml:space="preserve"> заохочень працівникам фінансування яких не здійснюється за рахунок коштів НСЗУ</w:t>
            </w:r>
          </w:p>
        </w:tc>
        <w:tc>
          <w:tcPr>
            <w:tcW w:w="2123" w:type="dxa"/>
          </w:tcPr>
          <w:p w14:paraId="69763745" w14:textId="77777777" w:rsidR="00060B91" w:rsidRPr="002F6128" w:rsidRDefault="002F6128" w:rsidP="00060B91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>, або сестрам медичним, що працюють у МПТБ Березнянської селищної територіальної громади</w:t>
            </w:r>
          </w:p>
        </w:tc>
        <w:tc>
          <w:tcPr>
            <w:tcW w:w="1450" w:type="dxa"/>
          </w:tcPr>
          <w:p w14:paraId="773341DC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04727CB4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726A88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611C4A83" w14:textId="77777777" w:rsidR="00060B91" w:rsidRDefault="00060B91" w:rsidP="00060B91">
            <w:pPr>
              <w:jc w:val="center"/>
            </w:pPr>
          </w:p>
          <w:p w14:paraId="15636D04" w14:textId="77777777" w:rsidR="00060B91" w:rsidRDefault="00060B91" w:rsidP="00060B91">
            <w:pPr>
              <w:jc w:val="center"/>
            </w:pPr>
          </w:p>
          <w:p w14:paraId="2259FBBC" w14:textId="77777777" w:rsidR="00060B91" w:rsidRPr="00697B26" w:rsidRDefault="00697B26" w:rsidP="00697B26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34" w:type="dxa"/>
          </w:tcPr>
          <w:p w14:paraId="711B277F" w14:textId="77777777" w:rsidR="00060B91" w:rsidRDefault="00060B91" w:rsidP="00060B91">
            <w:pPr>
              <w:jc w:val="center"/>
            </w:pPr>
          </w:p>
          <w:p w14:paraId="39C728ED" w14:textId="77777777" w:rsidR="00060B91" w:rsidRDefault="00060B91" w:rsidP="00060B91">
            <w:pPr>
              <w:jc w:val="center"/>
            </w:pPr>
          </w:p>
          <w:p w14:paraId="2879D441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5</w:t>
            </w:r>
            <w:r w:rsidR="00697B26">
              <w:t xml:space="preserve"> </w:t>
            </w:r>
          </w:p>
        </w:tc>
        <w:tc>
          <w:tcPr>
            <w:tcW w:w="1134" w:type="dxa"/>
          </w:tcPr>
          <w:p w14:paraId="64D09861" w14:textId="77777777" w:rsidR="00060B91" w:rsidRDefault="00060B91" w:rsidP="00060B91">
            <w:pPr>
              <w:jc w:val="center"/>
            </w:pPr>
          </w:p>
          <w:p w14:paraId="3172A81E" w14:textId="77777777" w:rsidR="00060B91" w:rsidRDefault="00060B91" w:rsidP="00060B91">
            <w:pPr>
              <w:jc w:val="center"/>
            </w:pPr>
          </w:p>
          <w:p w14:paraId="16A84970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51160C8D" w14:textId="77777777" w:rsidR="00060B91" w:rsidRDefault="00060B91" w:rsidP="00060B91">
            <w:pPr>
              <w:jc w:val="center"/>
            </w:pPr>
          </w:p>
          <w:p w14:paraId="55EC6645" w14:textId="77777777" w:rsidR="00060B91" w:rsidRDefault="00060B91" w:rsidP="00060B91">
            <w:pPr>
              <w:jc w:val="center"/>
            </w:pPr>
          </w:p>
          <w:p w14:paraId="691C583B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7F71B03D" w14:textId="77777777" w:rsidR="00060B91" w:rsidRDefault="00060B91" w:rsidP="00060B91">
            <w:pPr>
              <w:jc w:val="center"/>
            </w:pPr>
          </w:p>
          <w:p w14:paraId="47830813" w14:textId="77777777" w:rsidR="00060B91" w:rsidRDefault="00060B91" w:rsidP="00060B91">
            <w:pPr>
              <w:jc w:val="center"/>
            </w:pPr>
          </w:p>
          <w:p w14:paraId="08D99ABF" w14:textId="77777777" w:rsidR="00060B91" w:rsidRPr="002F6128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72" w:type="dxa"/>
          </w:tcPr>
          <w:p w14:paraId="1F123CB3" w14:textId="77777777" w:rsidR="00060B91" w:rsidRPr="002F6128" w:rsidRDefault="002F6128" w:rsidP="00060B91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14:paraId="75EBB14F" w14:textId="77777777" w:rsidR="00060B91" w:rsidRDefault="00060B91" w:rsidP="00060B91">
      <w:pPr>
        <w:pStyle w:val="rvps2"/>
        <w:contextualSpacing/>
      </w:pPr>
    </w:p>
    <w:p w14:paraId="6DFE15D0" w14:textId="77777777" w:rsidR="00060B91" w:rsidRDefault="00271E43" w:rsidP="00060B91">
      <w:pPr>
        <w:pStyle w:val="rvps2"/>
        <w:contextualSpacing/>
      </w:pPr>
      <w:r>
        <w:t xml:space="preserve">  </w:t>
      </w:r>
      <w:r>
        <w:rPr>
          <w:b/>
          <w:sz w:val="28"/>
          <w:szCs w:val="28"/>
        </w:rPr>
        <w:t xml:space="preserve">  Генеральний директор КНП «Менський центр ПМСД»                                                           Наталія РОСОМАХА</w:t>
      </w:r>
    </w:p>
    <w:p w14:paraId="4797BEFA" w14:textId="77777777" w:rsidR="00060B91" w:rsidRPr="00783A6D" w:rsidRDefault="00271E43" w:rsidP="00783A6D">
      <w:pPr>
        <w:pStyle w:val="rvps2"/>
        <w:contextualSpacing/>
      </w:pPr>
      <w:r>
        <w:t xml:space="preserve">               </w:t>
      </w:r>
      <w:r w:rsidR="00060B91">
        <w:t xml:space="preserve">                                                                                                                                                 </w:t>
      </w:r>
    </w:p>
    <w:p w14:paraId="238664BF" w14:textId="77777777" w:rsidR="00060B91" w:rsidRDefault="00060B91" w:rsidP="00060B91"/>
    <w:p w14:paraId="75D3CAC0" w14:textId="77777777" w:rsidR="00060B91" w:rsidRPr="00060B91" w:rsidRDefault="00060B91" w:rsidP="00D71830">
      <w:pPr>
        <w:rPr>
          <w:b/>
          <w:sz w:val="28"/>
          <w:szCs w:val="28"/>
        </w:rPr>
      </w:pPr>
    </w:p>
    <w:p w14:paraId="59162002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0D6DB1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0DA016E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519BD7C3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2B13BFD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457452E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305E19B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3ACE6B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B1C4B3B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177EF260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C24FB7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31D076C6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sectPr w:rsidR="00060B91" w:rsidSect="00AD5E41">
      <w:headerReference w:type="default" r:id="rId9"/>
      <w:pgSz w:w="11906" w:h="16838" w:code="9"/>
      <w:pgMar w:top="992" w:right="560" w:bottom="510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13C8" w14:textId="77777777" w:rsidR="00814D46" w:rsidRDefault="00814D46" w:rsidP="00060B91">
      <w:r>
        <w:separator/>
      </w:r>
    </w:p>
  </w:endnote>
  <w:endnote w:type="continuationSeparator" w:id="0">
    <w:p w14:paraId="0DB929B6" w14:textId="77777777" w:rsidR="00814D46" w:rsidRDefault="00814D46" w:rsidP="000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B7DF" w14:textId="77777777" w:rsidR="00814D46" w:rsidRDefault="00814D46" w:rsidP="00060B91">
      <w:r>
        <w:separator/>
      </w:r>
    </w:p>
  </w:footnote>
  <w:footnote w:type="continuationSeparator" w:id="0">
    <w:p w14:paraId="62D35A2D" w14:textId="77777777" w:rsidR="00814D46" w:rsidRDefault="00814D46" w:rsidP="0006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D537" w14:textId="77777777" w:rsidR="00271E43" w:rsidRDefault="00271E43">
    <w:pPr>
      <w:pStyle w:val="aa"/>
      <w:rPr>
        <w:lang w:val="uk-UA"/>
      </w:rPr>
    </w:pPr>
  </w:p>
  <w:p w14:paraId="29BA578E" w14:textId="77777777" w:rsidR="00271E43" w:rsidRPr="00271E43" w:rsidRDefault="00271E43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51E"/>
    <w:rsid w:val="00004FF8"/>
    <w:rsid w:val="000053D3"/>
    <w:rsid w:val="0001037A"/>
    <w:rsid w:val="000135DD"/>
    <w:rsid w:val="00026BB6"/>
    <w:rsid w:val="00054CED"/>
    <w:rsid w:val="00060B91"/>
    <w:rsid w:val="00060FFD"/>
    <w:rsid w:val="00075EDE"/>
    <w:rsid w:val="00091F8D"/>
    <w:rsid w:val="000A34B3"/>
    <w:rsid w:val="000C785A"/>
    <w:rsid w:val="00126601"/>
    <w:rsid w:val="001324A6"/>
    <w:rsid w:val="00133772"/>
    <w:rsid w:val="0013585D"/>
    <w:rsid w:val="00143859"/>
    <w:rsid w:val="00144AB4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1664"/>
    <w:rsid w:val="0022243B"/>
    <w:rsid w:val="00227F86"/>
    <w:rsid w:val="00235B4A"/>
    <w:rsid w:val="00270AD8"/>
    <w:rsid w:val="00271E43"/>
    <w:rsid w:val="00273CC9"/>
    <w:rsid w:val="00280366"/>
    <w:rsid w:val="00286F99"/>
    <w:rsid w:val="002921E9"/>
    <w:rsid w:val="002B1552"/>
    <w:rsid w:val="002B3756"/>
    <w:rsid w:val="002B4E0C"/>
    <w:rsid w:val="002D72C6"/>
    <w:rsid w:val="002F6128"/>
    <w:rsid w:val="00304122"/>
    <w:rsid w:val="00323265"/>
    <w:rsid w:val="00331A6D"/>
    <w:rsid w:val="00336043"/>
    <w:rsid w:val="003535D4"/>
    <w:rsid w:val="003627C8"/>
    <w:rsid w:val="00385C58"/>
    <w:rsid w:val="003C11A7"/>
    <w:rsid w:val="003E310E"/>
    <w:rsid w:val="003F051E"/>
    <w:rsid w:val="003F5D1A"/>
    <w:rsid w:val="0041390C"/>
    <w:rsid w:val="00417FBD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97B26"/>
    <w:rsid w:val="006B0835"/>
    <w:rsid w:val="006C4F7C"/>
    <w:rsid w:val="006E56E8"/>
    <w:rsid w:val="006E5D88"/>
    <w:rsid w:val="006F1718"/>
    <w:rsid w:val="00703B20"/>
    <w:rsid w:val="00737727"/>
    <w:rsid w:val="00754FA5"/>
    <w:rsid w:val="00775CC9"/>
    <w:rsid w:val="00777282"/>
    <w:rsid w:val="00780F30"/>
    <w:rsid w:val="00783A6D"/>
    <w:rsid w:val="007A36EB"/>
    <w:rsid w:val="007C2FE7"/>
    <w:rsid w:val="007E7B99"/>
    <w:rsid w:val="007F581F"/>
    <w:rsid w:val="007F59F5"/>
    <w:rsid w:val="0080644E"/>
    <w:rsid w:val="00814D46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C6C24"/>
    <w:rsid w:val="008C79B7"/>
    <w:rsid w:val="008F0579"/>
    <w:rsid w:val="00920D3F"/>
    <w:rsid w:val="009365B2"/>
    <w:rsid w:val="00936FEF"/>
    <w:rsid w:val="00940E12"/>
    <w:rsid w:val="00943C1D"/>
    <w:rsid w:val="009649D0"/>
    <w:rsid w:val="009743DA"/>
    <w:rsid w:val="00980CC6"/>
    <w:rsid w:val="009849F4"/>
    <w:rsid w:val="00985AE7"/>
    <w:rsid w:val="009A0A74"/>
    <w:rsid w:val="009A581B"/>
    <w:rsid w:val="009B1CBE"/>
    <w:rsid w:val="009E0301"/>
    <w:rsid w:val="009F2BA5"/>
    <w:rsid w:val="00A1193E"/>
    <w:rsid w:val="00A50400"/>
    <w:rsid w:val="00A73053"/>
    <w:rsid w:val="00A84A73"/>
    <w:rsid w:val="00AB332F"/>
    <w:rsid w:val="00AB66E9"/>
    <w:rsid w:val="00AD5E41"/>
    <w:rsid w:val="00AE2FCF"/>
    <w:rsid w:val="00B010D5"/>
    <w:rsid w:val="00B36641"/>
    <w:rsid w:val="00B478DF"/>
    <w:rsid w:val="00B72996"/>
    <w:rsid w:val="00B91AB0"/>
    <w:rsid w:val="00B95845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46855"/>
    <w:rsid w:val="00E636BA"/>
    <w:rsid w:val="00E8768D"/>
    <w:rsid w:val="00E904A9"/>
    <w:rsid w:val="00E94405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C82D"/>
  <w15:docId w15:val="{6C37B4E9-7857-4F05-88A8-08354C71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60B91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60B9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6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71E43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d">
    <w:name w:val="Назва Знак"/>
    <w:basedOn w:val="a0"/>
    <w:link w:val="ac"/>
    <w:uiPriority w:val="1"/>
    <w:rsid w:val="00271E43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customStyle="1" w:styleId="PreformattedText">
    <w:name w:val="Preformatted Text"/>
    <w:basedOn w:val="a"/>
    <w:rsid w:val="00271E43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3F84-B143-4519-BEC2-ABB7C093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10782</Words>
  <Characters>6147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2025-11-17T11:32:00Z</cp:lastPrinted>
  <dcterms:created xsi:type="dcterms:W3CDTF">2025-11-17T10:23:00Z</dcterms:created>
  <dcterms:modified xsi:type="dcterms:W3CDTF">2025-11-17T11:56:00Z</dcterms:modified>
</cp:coreProperties>
</file>