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DFAF" w14:textId="77777777" w:rsidR="00790C6B" w:rsidRPr="00790C6B" w:rsidRDefault="00790C6B" w:rsidP="0079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90C6B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</w:t>
      </w:r>
      <w:r w:rsidRPr="00790C6B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object w:dxaOrig="615" w:dyaOrig="900" w14:anchorId="53C1E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25753464" r:id="rId7"/>
        </w:object>
      </w:r>
    </w:p>
    <w:p w14:paraId="5AF3204D" w14:textId="77777777" w:rsidR="00790C6B" w:rsidRPr="00790C6B" w:rsidRDefault="00790C6B" w:rsidP="00790C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kern w:val="544"/>
          <w:sz w:val="32"/>
          <w:szCs w:val="32"/>
          <w:lang w:val="ru-RU" w:eastAsia="ru-RU"/>
        </w:rPr>
        <w:t>У К Р А Ї Н А</w:t>
      </w:r>
    </w:p>
    <w:p w14:paraId="3C2B211C" w14:textId="77777777" w:rsidR="00790C6B" w:rsidRPr="00790C6B" w:rsidRDefault="00790C6B" w:rsidP="0079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5DA201AB" w14:textId="77777777" w:rsidR="00790C6B" w:rsidRPr="00790C6B" w:rsidRDefault="00790C6B" w:rsidP="00790C6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2B26D670" w14:textId="77777777" w:rsidR="00790C6B" w:rsidRPr="00790C6B" w:rsidRDefault="00790C6B" w:rsidP="0079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ВИКОНАВЧИЙ КОМІТЕТ</w:t>
      </w:r>
    </w:p>
    <w:p w14:paraId="0BFD4DF3" w14:textId="77777777" w:rsidR="00790C6B" w:rsidRPr="00790C6B" w:rsidRDefault="00790C6B" w:rsidP="0079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</w:p>
    <w:p w14:paraId="0FA40CCA" w14:textId="77777777" w:rsidR="00790C6B" w:rsidRPr="00790C6B" w:rsidRDefault="00790C6B" w:rsidP="00790C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РІШЕННЯ </w:t>
      </w:r>
    </w:p>
    <w:p w14:paraId="238B6CFD" w14:textId="77777777" w:rsidR="00790C6B" w:rsidRPr="00790C6B" w:rsidRDefault="00790C6B" w:rsidP="00790C6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36E0E3F4" w14:textId="77777777" w:rsidR="00790C6B" w:rsidRPr="00790C6B" w:rsidRDefault="00790C6B" w:rsidP="0079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90C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790C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90C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790C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                                              </w:t>
      </w:r>
      <w:r w:rsidRPr="0079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0C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№</w:t>
      </w:r>
    </w:p>
    <w:p w14:paraId="26DF54D7" w14:textId="77777777"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60C67E91" w14:textId="001F3CFE"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Про</w:t>
      </w:r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proofErr w:type="gramStart"/>
      <w:r w:rsidR="0079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погодження</w:t>
      </w:r>
      <w:proofErr w:type="spellEnd"/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</w:t>
      </w:r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рограми</w:t>
      </w:r>
      <w:proofErr w:type="spellEnd"/>
      <w:proofErr w:type="gramEnd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утримання  та  ремонту</w:t>
      </w:r>
    </w:p>
    <w:p w14:paraId="39F25EF0" w14:textId="77777777"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автомобільних доріг   місцевого  значення  та  вулиць</w:t>
      </w:r>
    </w:p>
    <w:p w14:paraId="2230E3FF" w14:textId="77777777"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  доріг  комунальної  власності  на 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2026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-2028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р</w:t>
      </w:r>
      <w:proofErr w:type="spellStart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оки</w:t>
      </w:r>
      <w:proofErr w:type="spellEnd"/>
    </w:p>
    <w:p w14:paraId="48A77A10" w14:textId="77777777" w:rsidR="00276678" w:rsidRPr="00EB4271" w:rsidRDefault="00276678" w:rsidP="00276678">
      <w:pPr>
        <w:shd w:val="clear" w:color="auto" w:fill="FFFFFF"/>
        <w:spacing w:after="225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5C029C24" w14:textId="4B7BDC6D" w:rsidR="003A6536" w:rsidRDefault="00276678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 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Заслухавши та обговоривши  проект програми «Утримання  та ремонт  автомобільних доріг  загального користування , у тому числі  місцевого значення,  та вулиць і доріг  комунальної власності  на 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роки»,  керуючись  Законом України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«Про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місцеве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самоврядування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Україні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 </w:t>
      </w:r>
      <w:proofErr w:type="spellStart"/>
      <w:r w:rsidR="00790C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виконавчий</w:t>
      </w:r>
      <w:proofErr w:type="spellEnd"/>
      <w:r w:rsidR="00790C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90C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комітет</w:t>
      </w:r>
      <w:proofErr w:type="spellEnd"/>
      <w:r w:rsidR="00790C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селищної ради,</w:t>
      </w:r>
    </w:p>
    <w:p w14:paraId="6B2CF33B" w14:textId="77777777" w:rsidR="003A6536" w:rsidRDefault="003A6536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14:paraId="367C1CB0" w14:textId="255472BB" w:rsidR="00276678" w:rsidRDefault="00276678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3A653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   ВИРІШИ</w:t>
      </w:r>
      <w:r w:rsidR="00790C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r w:rsidRPr="003A653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14:paraId="52656853" w14:textId="77777777" w:rsidR="003A6536" w:rsidRPr="003A6536" w:rsidRDefault="003A6536" w:rsidP="003A653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333333"/>
          <w:sz w:val="21"/>
          <w:szCs w:val="21"/>
          <w:lang w:eastAsia="uk-UA"/>
        </w:rPr>
      </w:pPr>
    </w:p>
    <w:p w14:paraId="17601092" w14:textId="78FE34BD" w:rsidR="00276678" w:rsidRPr="00EB4271" w:rsidRDefault="00276678" w:rsidP="00276678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="00790C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Погодити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Програму</w:t>
      </w:r>
      <w:proofErr w:type="spellEnd"/>
      <w:proofErr w:type="gram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«Утримання  та ремонту  автомобільних доріг  місцевого значення  та вулиць і доріг  комунальної власності  на 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роки»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 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додається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20F46CDE" w14:textId="77777777" w:rsidR="00790C6B" w:rsidRPr="00790C6B" w:rsidRDefault="00790C6B" w:rsidP="00790C6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790C6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 Головним розпорядником коштів визначити </w:t>
      </w:r>
      <w:proofErr w:type="spellStart"/>
      <w:r w:rsidRPr="00790C6B">
        <w:rPr>
          <w:rFonts w:ascii="Times New Roman" w:eastAsia="Calibri" w:hAnsi="Times New Roman" w:cs="Times New Roman"/>
          <w:sz w:val="28"/>
          <w:szCs w:val="28"/>
          <w:lang w:eastAsia="uk-UA"/>
        </w:rPr>
        <w:t>Березнянську</w:t>
      </w:r>
      <w:proofErr w:type="spellEnd"/>
      <w:r w:rsidRPr="00790C6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селищну раду.</w:t>
      </w:r>
    </w:p>
    <w:p w14:paraId="5C014655" w14:textId="77777777" w:rsidR="00790C6B" w:rsidRPr="00790C6B" w:rsidRDefault="00790C6B" w:rsidP="00790C6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0C6B">
        <w:rPr>
          <w:rFonts w:ascii="Times New Roman" w:eastAsia="Calibri" w:hAnsi="Times New Roman" w:cs="Times New Roman"/>
          <w:sz w:val="28"/>
          <w:szCs w:val="28"/>
          <w:lang w:eastAsia="uk-UA"/>
        </w:rPr>
        <w:t>3.Контроль за виконанням цього рішення покласти на селищного голову.</w:t>
      </w:r>
    </w:p>
    <w:p w14:paraId="67902DEE" w14:textId="77777777" w:rsidR="00276678" w:rsidRPr="00F51C56" w:rsidRDefault="00276678" w:rsidP="00276678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213EE731" w14:textId="77777777" w:rsidR="00276678" w:rsidRPr="00F51C56" w:rsidRDefault="00276678" w:rsidP="00276678">
      <w:pPr>
        <w:pStyle w:val="a3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F51C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     </w:t>
      </w:r>
    </w:p>
    <w:p w14:paraId="05381394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Селищний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голова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          </w:t>
      </w: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Володимир ПАВЛЕНКО</w:t>
      </w:r>
    </w:p>
    <w:p w14:paraId="5353C0E6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F1C10DE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02C00246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B23E0F1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A794928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29F85894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76ADF76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A0B8677" w14:textId="73D78BF1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2F2081C8" w14:textId="0D1F986C" w:rsidR="00790C6B" w:rsidRDefault="00790C6B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02714A5" w14:textId="464FB444" w:rsidR="00790C6B" w:rsidRDefault="00790C6B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AC362A0" w14:textId="34AB90BB" w:rsidR="00790C6B" w:rsidRDefault="00790C6B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4DC3279" w14:textId="77777777" w:rsidR="00790C6B" w:rsidRDefault="00790C6B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732397A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6CD3EAA3" w14:textId="77777777"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 xml:space="preserve">           </w:t>
      </w:r>
    </w:p>
    <w:p w14:paraId="18DD6FF2" w14:textId="77777777"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 xml:space="preserve">                        </w:t>
      </w:r>
      <w:r w:rsid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        </w:t>
      </w:r>
      <w:r w:rsidRP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Затверджено</w:t>
      </w:r>
    </w:p>
    <w:p w14:paraId="021C4CCB" w14:textId="77777777"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рішення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сесії </w:t>
      </w:r>
    </w:p>
    <w:p w14:paraId="12BAABDD" w14:textId="77777777"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Березнянської  селищної ради</w:t>
      </w:r>
    </w:p>
    <w:p w14:paraId="1E6005E5" w14:textId="77777777" w:rsidR="00276678" w:rsidRPr="00220177" w:rsidRDefault="00276678" w:rsidP="00276678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 «</w:t>
      </w:r>
      <w:r w:rsidR="00220177"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» грудня 202</w:t>
      </w:r>
      <w:r w:rsidR="00220177"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5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р.</w:t>
      </w:r>
    </w:p>
    <w:p w14:paraId="64CEED0B" w14:textId="77777777" w:rsidR="00276678" w:rsidRPr="00220177" w:rsidRDefault="00276678" w:rsidP="00276678">
      <w:pPr>
        <w:spacing w:after="0"/>
        <w:ind w:left="3687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№ </w:t>
      </w:r>
      <w:r w:rsidR="00220177" w:rsidRPr="00220177">
        <w:rPr>
          <w:rFonts w:ascii="Times New Roman" w:eastAsiaTheme="minorEastAsia" w:hAnsi="Times New Roman"/>
          <w:sz w:val="28"/>
          <w:szCs w:val="28"/>
          <w:lang w:eastAsia="ru-RU"/>
        </w:rPr>
        <w:t>____/___</w:t>
      </w:r>
      <w:r w:rsidRPr="00220177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220177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7168AA71" w14:textId="77777777" w:rsidR="00276678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14:paraId="575F9D05" w14:textId="77777777" w:rsidR="00220177" w:rsidRDefault="00220177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14:paraId="0A17BF48" w14:textId="77777777" w:rsidR="00220177" w:rsidRPr="00220177" w:rsidRDefault="00220177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14:paraId="4C11E74D" w14:textId="77777777"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             </w:t>
      </w:r>
    </w:p>
    <w:p w14:paraId="65E34D03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ПРОГРАМА</w:t>
      </w:r>
    </w:p>
    <w:p w14:paraId="5C0E5656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 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ремонт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</w:p>
    <w:p w14:paraId="2D1310D0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у тому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</w:p>
    <w:p w14:paraId="4F78C0CC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</w:p>
    <w:p w14:paraId="668925A7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20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</w:t>
      </w:r>
    </w:p>
    <w:p w14:paraId="367665D0" w14:textId="77777777" w:rsidR="00276678" w:rsidRPr="00EB4271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772CB6D9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096F9E51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1A194A17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573C24D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395DB601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5B1C07CC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5D64093B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61C2FA6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100CC5FE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551457D2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0879F620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9E3CD2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341BBAA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BC93D9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024C21EC" w14:textId="77777777" w:rsidR="00276678" w:rsidRPr="00220177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14:paraId="3DBE155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0451301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34F6F5E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0143EE38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26168B46" w14:textId="77777777" w:rsidR="00276678" w:rsidRDefault="00276678" w:rsidP="00220177">
      <w:pPr>
        <w:shd w:val="clear" w:color="auto" w:fill="FFFFFF"/>
        <w:spacing w:after="20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9E9C75C" w14:textId="77777777" w:rsidR="00276678" w:rsidRPr="00220177" w:rsidRDefault="00220177" w:rsidP="00220177">
      <w:pPr>
        <w:shd w:val="clear" w:color="auto" w:fill="FFFFFF"/>
        <w:tabs>
          <w:tab w:val="left" w:pos="4524"/>
        </w:tabs>
        <w:spacing w:after="20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ab/>
      </w:r>
      <w:r w:rsidRPr="00220177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2025р.</w:t>
      </w:r>
    </w:p>
    <w:p w14:paraId="2891EBFA" w14:textId="77777777" w:rsidR="00276678" w:rsidRPr="00EB4271" w:rsidRDefault="00276678" w:rsidP="00276678">
      <w:pPr>
        <w:shd w:val="clear" w:color="auto" w:fill="FFFFFF"/>
        <w:spacing w:after="200" w:line="240" w:lineRule="auto"/>
        <w:ind w:right="284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0116A5FF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lastRenderedPageBreak/>
        <w:t>ПАСПОРТ  ПРОГРАМИ</w:t>
      </w:r>
    </w:p>
    <w:p w14:paraId="5CEAE8BF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020"/>
        <w:gridCol w:w="6425"/>
      </w:tblGrid>
      <w:tr w:rsidR="00276678" w:rsidRPr="00276678" w14:paraId="42C842CD" w14:textId="77777777" w:rsidTr="0095369D">
        <w:tc>
          <w:tcPr>
            <w:tcW w:w="685" w:type="dxa"/>
            <w:shd w:val="clear" w:color="auto" w:fill="auto"/>
            <w:hideMark/>
          </w:tcPr>
          <w:p w14:paraId="3AEFE1AC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1.</w:t>
            </w:r>
          </w:p>
        </w:tc>
        <w:tc>
          <w:tcPr>
            <w:tcW w:w="3020" w:type="dxa"/>
            <w:shd w:val="clear" w:color="auto" w:fill="auto"/>
            <w:hideMark/>
          </w:tcPr>
          <w:p w14:paraId="1FB15336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Ініціатор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70D1FC4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Березнянська селищна рада</w:t>
            </w:r>
          </w:p>
        </w:tc>
      </w:tr>
      <w:tr w:rsidR="00276678" w:rsidRPr="00276678" w14:paraId="1EBEE0FB" w14:textId="77777777" w:rsidTr="0095369D">
        <w:tc>
          <w:tcPr>
            <w:tcW w:w="685" w:type="dxa"/>
            <w:shd w:val="clear" w:color="auto" w:fill="auto"/>
            <w:hideMark/>
          </w:tcPr>
          <w:p w14:paraId="17B79B00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2.</w:t>
            </w:r>
          </w:p>
        </w:tc>
        <w:tc>
          <w:tcPr>
            <w:tcW w:w="3020" w:type="dxa"/>
            <w:shd w:val="clear" w:color="auto" w:fill="auto"/>
            <w:hideMark/>
          </w:tcPr>
          <w:p w14:paraId="79C2116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Розробник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2521DA4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Березнянська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276678" w:rsidRPr="00276678" w14:paraId="66EC9C43" w14:textId="77777777" w:rsidTr="0095369D">
        <w:tc>
          <w:tcPr>
            <w:tcW w:w="685" w:type="dxa"/>
            <w:shd w:val="clear" w:color="auto" w:fill="auto"/>
            <w:hideMark/>
          </w:tcPr>
          <w:p w14:paraId="1BC9D035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3.</w:t>
            </w:r>
          </w:p>
        </w:tc>
        <w:tc>
          <w:tcPr>
            <w:tcW w:w="3020" w:type="dxa"/>
            <w:shd w:val="clear" w:color="auto" w:fill="auto"/>
            <w:hideMark/>
          </w:tcPr>
          <w:p w14:paraId="28453E9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Відповідальний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виконавець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03802A8A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Березнянська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276678" w:rsidRPr="00276678" w14:paraId="07785F99" w14:textId="77777777" w:rsidTr="0095369D">
        <w:tc>
          <w:tcPr>
            <w:tcW w:w="685" w:type="dxa"/>
            <w:shd w:val="clear" w:color="auto" w:fill="auto"/>
            <w:hideMark/>
          </w:tcPr>
          <w:p w14:paraId="1E33B605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5.</w:t>
            </w:r>
          </w:p>
        </w:tc>
        <w:tc>
          <w:tcPr>
            <w:tcW w:w="3020" w:type="dxa"/>
            <w:shd w:val="clear" w:color="auto" w:fill="auto"/>
            <w:hideMark/>
          </w:tcPr>
          <w:p w14:paraId="40DAA513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Назва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1EFB99C7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та ремонт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</w:p>
          <w:p w14:paraId="354732E6" w14:textId="77777777" w:rsidR="00276678" w:rsidRPr="00276678" w:rsidRDefault="00276678" w:rsidP="0027667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значення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та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і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комунальної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власності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Березнянської  селищної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ради на 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26-2028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роки</w:t>
            </w:r>
          </w:p>
        </w:tc>
      </w:tr>
      <w:tr w:rsidR="00276678" w:rsidRPr="00276678" w14:paraId="59F76738" w14:textId="77777777" w:rsidTr="0095369D">
        <w:tc>
          <w:tcPr>
            <w:tcW w:w="685" w:type="dxa"/>
            <w:shd w:val="clear" w:color="auto" w:fill="auto"/>
            <w:hideMark/>
          </w:tcPr>
          <w:p w14:paraId="2FF8335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6.</w:t>
            </w:r>
          </w:p>
        </w:tc>
        <w:tc>
          <w:tcPr>
            <w:tcW w:w="3020" w:type="dxa"/>
            <w:shd w:val="clear" w:color="auto" w:fill="auto"/>
            <w:hideMark/>
          </w:tcPr>
          <w:p w14:paraId="5FD68ABD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Законодавча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база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44955159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дороги»,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дорожній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рух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»,«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транспорт»,</w:t>
            </w:r>
          </w:p>
          <w:p w14:paraId="2F5E914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дорожнього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господарства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»,постанова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КМУвід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30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1994 р.№ 198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затвердження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Єдиних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правил ремонту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вулиць,правил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користування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ними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охорони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</w:p>
        </w:tc>
      </w:tr>
      <w:tr w:rsidR="00276678" w:rsidRPr="00276678" w14:paraId="752F4147" w14:textId="77777777" w:rsidTr="0095369D">
        <w:tc>
          <w:tcPr>
            <w:tcW w:w="685" w:type="dxa"/>
            <w:shd w:val="clear" w:color="auto" w:fill="auto"/>
            <w:hideMark/>
          </w:tcPr>
          <w:p w14:paraId="033FABC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</w:t>
            </w:r>
          </w:p>
        </w:tc>
        <w:tc>
          <w:tcPr>
            <w:tcW w:w="3020" w:type="dxa"/>
            <w:shd w:val="clear" w:color="auto" w:fill="auto"/>
            <w:hideMark/>
          </w:tcPr>
          <w:p w14:paraId="3CAEDD3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Підстава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1B698FF4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Необхідність поліпшення транспортно-експлуатаційного стану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мережі доріг  місцевого значення та вулиць і доріг комунальної </w:t>
            </w:r>
          </w:p>
          <w:p w14:paraId="3BC44F9E" w14:textId="77777777" w:rsidR="00276678" w:rsidRPr="00276678" w:rsidRDefault="00276678" w:rsidP="0027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власності Березнянської 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територіальноїгромади</w:t>
            </w:r>
            <w:proofErr w:type="spellEnd"/>
          </w:p>
        </w:tc>
      </w:tr>
      <w:tr w:rsidR="00276678" w:rsidRPr="00276678" w14:paraId="0C10D6BA" w14:textId="77777777" w:rsidTr="0095369D">
        <w:tc>
          <w:tcPr>
            <w:tcW w:w="685" w:type="dxa"/>
            <w:shd w:val="clear" w:color="auto" w:fill="auto"/>
            <w:hideMark/>
          </w:tcPr>
          <w:p w14:paraId="30E83BAD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8.</w:t>
            </w:r>
          </w:p>
        </w:tc>
        <w:tc>
          <w:tcPr>
            <w:tcW w:w="3020" w:type="dxa"/>
            <w:shd w:val="clear" w:color="auto" w:fill="auto"/>
            <w:hideMark/>
          </w:tcPr>
          <w:p w14:paraId="5846317D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Мета і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завдання</w:t>
            </w:r>
            <w:proofErr w:type="spellEnd"/>
          </w:p>
          <w:p w14:paraId="17E579DB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59807A2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Збереження та поліпшення транспортно - експлуатаційного стану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наявної мережі доріг  місцевого значення та вулиць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доріг комунальної власності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населених пунктах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Березнянської</w:t>
            </w:r>
          </w:p>
          <w:p w14:paraId="30DC3CA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Селищної територіальної громади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 доведенням термінів експлуатації дорожнього покриття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 міжремонтних термінів</w:t>
            </w:r>
          </w:p>
        </w:tc>
      </w:tr>
      <w:tr w:rsidR="0095369D" w:rsidRPr="00276678" w14:paraId="5108BAE1" w14:textId="77777777" w:rsidTr="0095369D">
        <w:tc>
          <w:tcPr>
            <w:tcW w:w="685" w:type="dxa"/>
            <w:shd w:val="clear" w:color="auto" w:fill="auto"/>
          </w:tcPr>
          <w:p w14:paraId="7D0A462E" w14:textId="77777777" w:rsidR="0095369D" w:rsidRPr="00276678" w:rsidRDefault="0095369D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9</w:t>
            </w:r>
          </w:p>
        </w:tc>
        <w:tc>
          <w:tcPr>
            <w:tcW w:w="3020" w:type="dxa"/>
            <w:shd w:val="clear" w:color="auto" w:fill="auto"/>
          </w:tcPr>
          <w:p w14:paraId="0E333DC9" w14:textId="77777777" w:rsidR="0095369D" w:rsidRPr="00276678" w:rsidRDefault="0095369D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заходи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</w:tcPr>
          <w:p w14:paraId="5ED61139" w14:textId="77777777" w:rsidR="0095369D" w:rsidRPr="00276678" w:rsidRDefault="0095369D" w:rsidP="009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Поліпшення транспортно-експлуатаційного стану мережі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автомобільних доріг та споруд на них, 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безперервності розвитку мережі автомобільних доріг,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підвищення рівня їх капітальності відповідно до темпів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автомобілізації країни, підвищення швидкості, економічності,</w:t>
            </w:r>
          </w:p>
          <w:p w14:paraId="555FA34E" w14:textId="77777777" w:rsidR="0095369D" w:rsidRPr="00276678" w:rsidRDefault="0095369D" w:rsidP="009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комфортності та безпечності перевезення пасажирів і вантажів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автомобільним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транспортом,     поліпшення стану доріг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сільській</w:t>
            </w:r>
          </w:p>
        </w:tc>
      </w:tr>
      <w:tr w:rsidR="00276678" w:rsidRPr="00276678" w14:paraId="158C7472" w14:textId="77777777" w:rsidTr="0095369D">
        <w:trPr>
          <w:trHeight w:val="420"/>
        </w:trPr>
        <w:tc>
          <w:tcPr>
            <w:tcW w:w="685" w:type="dxa"/>
            <w:shd w:val="clear" w:color="auto" w:fill="auto"/>
            <w:hideMark/>
          </w:tcPr>
          <w:p w14:paraId="56F637E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10.</w:t>
            </w:r>
          </w:p>
        </w:tc>
        <w:tc>
          <w:tcPr>
            <w:tcW w:w="3020" w:type="dxa"/>
            <w:shd w:val="clear" w:color="auto" w:fill="auto"/>
            <w:hideMark/>
          </w:tcPr>
          <w:p w14:paraId="3ECAB364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Строки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0150D873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роки</w:t>
            </w:r>
          </w:p>
        </w:tc>
      </w:tr>
      <w:tr w:rsidR="00276678" w:rsidRPr="00276678" w14:paraId="530C93C8" w14:textId="77777777" w:rsidTr="0095369D">
        <w:trPr>
          <w:trHeight w:val="840"/>
        </w:trPr>
        <w:tc>
          <w:tcPr>
            <w:tcW w:w="685" w:type="dxa"/>
            <w:shd w:val="clear" w:color="auto" w:fill="auto"/>
            <w:hideMark/>
          </w:tcPr>
          <w:p w14:paraId="485BE386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11.</w:t>
            </w:r>
          </w:p>
        </w:tc>
        <w:tc>
          <w:tcPr>
            <w:tcW w:w="3020" w:type="dxa"/>
            <w:shd w:val="clear" w:color="auto" w:fill="auto"/>
            <w:hideMark/>
          </w:tcPr>
          <w:p w14:paraId="0834742C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Фінансове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забезпечення</w:t>
            </w:r>
            <w:proofErr w:type="spellEnd"/>
          </w:p>
          <w:p w14:paraId="5F5967BE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03EDC0DD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здійснюється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рахунок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бюджету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інших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не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заборонених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чинним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законодавством</w:t>
            </w:r>
            <w:proofErr w:type="spellEnd"/>
          </w:p>
        </w:tc>
      </w:tr>
      <w:tr w:rsidR="00276678" w:rsidRPr="00276678" w14:paraId="11137ADE" w14:textId="77777777" w:rsidTr="0095369D">
        <w:trPr>
          <w:trHeight w:val="1020"/>
        </w:trPr>
        <w:tc>
          <w:tcPr>
            <w:tcW w:w="685" w:type="dxa"/>
            <w:shd w:val="clear" w:color="auto" w:fill="auto"/>
            <w:hideMark/>
          </w:tcPr>
          <w:p w14:paraId="248E5406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lastRenderedPageBreak/>
              <w:t>12.</w:t>
            </w:r>
          </w:p>
        </w:tc>
        <w:tc>
          <w:tcPr>
            <w:tcW w:w="3020" w:type="dxa"/>
            <w:shd w:val="clear" w:color="auto" w:fill="auto"/>
            <w:hideMark/>
          </w:tcPr>
          <w:p w14:paraId="033A210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Загальний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обсяг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фінансових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ресурсів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необхідних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у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роках 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тис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. грн.</w:t>
            </w:r>
          </w:p>
        </w:tc>
        <w:tc>
          <w:tcPr>
            <w:tcW w:w="6425" w:type="dxa"/>
            <w:shd w:val="clear" w:color="auto" w:fill="auto"/>
            <w:hideMark/>
          </w:tcPr>
          <w:p w14:paraId="6811E1E2" w14:textId="77777777" w:rsidR="00276678" w:rsidRPr="00276678" w:rsidRDefault="00276678" w:rsidP="0022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600,00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тис. грн.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 </w:t>
            </w:r>
          </w:p>
        </w:tc>
      </w:tr>
      <w:tr w:rsidR="00276678" w:rsidRPr="00276678" w14:paraId="6D7F2002" w14:textId="77777777" w:rsidTr="0095369D">
        <w:trPr>
          <w:trHeight w:val="570"/>
        </w:trPr>
        <w:tc>
          <w:tcPr>
            <w:tcW w:w="685" w:type="dxa"/>
            <w:shd w:val="clear" w:color="auto" w:fill="auto"/>
            <w:hideMark/>
          </w:tcPr>
          <w:p w14:paraId="335D4003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7.1</w:t>
            </w:r>
          </w:p>
        </w:tc>
        <w:tc>
          <w:tcPr>
            <w:tcW w:w="3020" w:type="dxa"/>
            <w:shd w:val="clear" w:color="auto" w:fill="auto"/>
            <w:hideMark/>
          </w:tcPr>
          <w:p w14:paraId="1B6D70C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В тому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числі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бюджетних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:</w:t>
            </w:r>
          </w:p>
        </w:tc>
        <w:tc>
          <w:tcPr>
            <w:tcW w:w="6425" w:type="dxa"/>
            <w:shd w:val="clear" w:color="auto" w:fill="auto"/>
            <w:hideMark/>
          </w:tcPr>
          <w:p w14:paraId="508B88C2" w14:textId="77777777" w:rsidR="00220177" w:rsidRPr="00276678" w:rsidRDefault="00276678" w:rsidP="0022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00,0 тис. грн.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(по 200,00 </w:t>
            </w:r>
            <w:proofErr w:type="spellStart"/>
            <w:proofErr w:type="gramStart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тис.грн</w:t>
            </w:r>
            <w:proofErr w:type="spellEnd"/>
            <w:proofErr w:type="gramEnd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щорічно</w:t>
            </w:r>
            <w:proofErr w:type="spellEnd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)</w:t>
            </w:r>
          </w:p>
          <w:p w14:paraId="140A62DB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6678" w:rsidRPr="00276678" w14:paraId="2CAA9DBC" w14:textId="77777777" w:rsidTr="0095369D">
        <w:trPr>
          <w:trHeight w:val="540"/>
        </w:trPr>
        <w:tc>
          <w:tcPr>
            <w:tcW w:w="685" w:type="dxa"/>
            <w:shd w:val="clear" w:color="auto" w:fill="auto"/>
            <w:hideMark/>
          </w:tcPr>
          <w:p w14:paraId="40FBCC43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14:paraId="16D7F099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- з них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с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елищного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бюджету</w:t>
            </w:r>
          </w:p>
        </w:tc>
        <w:tc>
          <w:tcPr>
            <w:tcW w:w="6425" w:type="dxa"/>
            <w:shd w:val="clear" w:color="auto" w:fill="auto"/>
            <w:hideMark/>
          </w:tcPr>
          <w:p w14:paraId="7535D14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00,0 тис. грн.</w:t>
            </w:r>
          </w:p>
        </w:tc>
      </w:tr>
      <w:tr w:rsidR="00276678" w:rsidRPr="00276678" w14:paraId="29669CD1" w14:textId="77777777" w:rsidTr="0095369D">
        <w:trPr>
          <w:trHeight w:val="285"/>
        </w:trPr>
        <w:tc>
          <w:tcPr>
            <w:tcW w:w="685" w:type="dxa"/>
            <w:shd w:val="clear" w:color="auto" w:fill="auto"/>
            <w:hideMark/>
          </w:tcPr>
          <w:p w14:paraId="28720266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14:paraId="38D2D95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-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позабюджетні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14:paraId="0BE9F4F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-</w:t>
            </w:r>
          </w:p>
        </w:tc>
      </w:tr>
    </w:tbl>
    <w:p w14:paraId="609ABA8B" w14:textId="77777777" w:rsidR="00276678" w:rsidRPr="00276678" w:rsidRDefault="00276678" w:rsidP="0095369D">
      <w:pPr>
        <w:shd w:val="clear" w:color="auto" w:fill="FFFFFF"/>
        <w:tabs>
          <w:tab w:val="left" w:pos="3096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2AF33E50" w14:textId="77777777" w:rsidR="00276678" w:rsidRPr="0095369D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DA5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Pr="009536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Загальні положення </w:t>
      </w:r>
    </w:p>
    <w:p w14:paraId="50AA5868" w14:textId="77777777" w:rsidR="00276678" w:rsidRPr="00276678" w:rsidRDefault="00DA5B18" w:rsidP="00DA5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1.1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Мережа автомобільних доріг є невід'ємною частиною єдиної транспортної 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різні місця району, області, країни, а також безпечне та надійне переміщення людей і транспортування товарів із належною ефективністю.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є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однією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підсистем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системи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вони є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суспільним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продуктом та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мають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надзвичайно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важливе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320E635A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залежать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витрати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перевезення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вантажів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пасажирів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рівень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цін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мірою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зайнятість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У свою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чергу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визначаються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можливостями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рівнем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6D0637CD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Однак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сьогодні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свідчить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труднощі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зумовлені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недостатнім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дорожньо-ремонтних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порівняно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нормативними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потребами.</w:t>
      </w:r>
    </w:p>
    <w:p w14:paraId="2297B7F3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Основою для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розроблення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рух»,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 постанова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Кабінету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Міністрів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30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березня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1994 р. № 198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Єдиних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правил ремонту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залізничних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переїздів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правил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ними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охорони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».</w:t>
      </w:r>
    </w:p>
    <w:p w14:paraId="31789E26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7B57EC78" w14:textId="77777777"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2.Мета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7717C189" w14:textId="77777777"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2.</w:t>
      </w:r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1.Метою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</w:p>
    <w:p w14:paraId="65688E0B" w14:textId="77777777"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покращення стану вулиць та автомобільних доріг комунальної власності за рахунок коштів селищного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бюджету, що позитивно вплине на соціально-економічний розвиток населених пунктів Березнянської  селищної 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771E1DC6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наявної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доведенням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термінів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строків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596936B4" w14:textId="77777777"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розвиток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створення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безпечних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руху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Березнянської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3464884F" w14:textId="77777777"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</w:t>
      </w:r>
      <w:proofErr w:type="spellEnd"/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стану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сільській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місцевості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0FCE0E47" w14:textId="77777777" w:rsidR="00276678" w:rsidRPr="00276678" w:rsidRDefault="00DA5B18" w:rsidP="00DA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покращення соціально-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економічного розвитку населених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Березнянської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 комунальної власності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6F066985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забезпечення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життєво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- важливих інтересів населення, об'єктів виробництва, підприємств, установ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Березнянської селищної </w:t>
      </w:r>
      <w:r w:rsidR="00DA5B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незалежно від форм власності шляхом покращення якості шляхів сполучення.</w:t>
      </w:r>
    </w:p>
    <w:p w14:paraId="640B0834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16469A85" w14:textId="77777777"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3.Визначення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проблеми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на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розв’язання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спрямована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</w:p>
    <w:p w14:paraId="2DA29BD0" w14:textId="77777777" w:rsidR="00276678" w:rsidRPr="00276678" w:rsidRDefault="00276678" w:rsidP="00DA5B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3.1.Закон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регулює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відносини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пов’язані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законом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поділяються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на:</w:t>
      </w:r>
    </w:p>
    <w:p w14:paraId="52403694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державного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047AB891" w14:textId="77777777"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73073C42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779FA8E8" w14:textId="77777777"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відомчі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технологічні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дороги;</w:t>
      </w:r>
    </w:p>
    <w:p w14:paraId="431FD314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приватних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територіях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36F1776A" w14:textId="77777777" w:rsidR="00276678" w:rsidRPr="00276678" w:rsidRDefault="0095369D" w:rsidP="00953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3.2.Державне управління авт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омобільними дорогами загального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користування здійснює Державне агентство автомобільних доріг України (Укравтодор), яке має органи управління на місцях – філії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 автомобільних доріг.</w:t>
      </w:r>
    </w:p>
    <w:p w14:paraId="687EEC7B" w14:textId="77777777" w:rsidR="00276678" w:rsidRPr="00276678" w:rsidRDefault="00276678" w:rsidP="00DA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3.3.Управління функціонуванням та розвитком вулиць і доріг міст, інших населених пунктів здійснюється 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відповідними органами місцевого</w:t>
      </w:r>
      <w:r w:rsidR="00DA5B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самоврядування, у віданні яких вони знаходяться.</w:t>
      </w:r>
    </w:p>
    <w:p w14:paraId="684315C1" w14:textId="77777777" w:rsidR="00276678" w:rsidRPr="00276678" w:rsidRDefault="00276678" w:rsidP="0027667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зі значним транспортним навантаженням, шляхова мережа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селищної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територіальної  громади втратила свої експлуатаційні якості і потребує як утримання так і ремонту.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Перш за все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викликають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занепокоєння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по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проходять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автобусні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сполучення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підвезення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дітей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навчальних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закладів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надання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невідкладної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медичної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допомоги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70A67C9B" w14:textId="77777777" w:rsidR="00276678" w:rsidRPr="00DA5B18" w:rsidRDefault="00276678" w:rsidP="00220177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Внаслідок обмеженого фінансування обсяги здійснення ремонтних робіт існуючої мережі доріг є недостатніми.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даний час не </w:t>
      </w:r>
      <w:proofErr w:type="spellStart"/>
      <w:proofErr w:type="gram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 ремонт</w:t>
      </w:r>
      <w:proofErr w:type="gram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</w:t>
      </w:r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ерезнянської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селищної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 громади</w:t>
      </w:r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попередній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ямковий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ремонт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не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довготривалого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ефекту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і  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повторного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здійсненя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 </w:t>
      </w:r>
    </w:p>
    <w:p w14:paraId="3E072AF0" w14:textId="77777777" w:rsidR="00276678" w:rsidRPr="00276678" w:rsidRDefault="00276678" w:rsidP="00220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3.5.Критеріями стратегії розвитку автомобільних доріг території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Березнянської 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роки, враховуючи їх незадовільний експлуатаційний стан є:</w:t>
      </w:r>
    </w:p>
    <w:p w14:paraId="340710EE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0E2148D7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руху;</w:t>
      </w:r>
    </w:p>
    <w:p w14:paraId="2DF4136F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доступності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пунктами.</w:t>
      </w:r>
    </w:p>
    <w:p w14:paraId="079A4D10" w14:textId="77777777" w:rsidR="00276678" w:rsidRPr="00276678" w:rsidRDefault="00276678" w:rsidP="00276678">
      <w:pPr>
        <w:rPr>
          <w:bdr w:val="none" w:sz="0" w:space="0" w:color="auto" w:frame="1"/>
          <w:shd w:val="clear" w:color="auto" w:fill="FFFFFF"/>
          <w:lang w:val="ru-RU" w:eastAsia="uk-UA"/>
        </w:rPr>
      </w:pP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запровадження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механізму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державно-приватного партнерства для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ктурних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проектів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співпраця</w:t>
      </w:r>
      <w:proofErr w:type="spellEnd"/>
      <w:proofErr w:type="gram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сільськогосподарськими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господарствами</w:t>
      </w:r>
      <w:proofErr w:type="spellEnd"/>
      <w:r w:rsidRPr="00276678">
        <w:rPr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458B1A15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0474651C" w14:textId="77777777" w:rsidR="00276678" w:rsidRPr="00276678" w:rsidRDefault="00276678" w:rsidP="00D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4.Перелік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завдань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14:paraId="00578F9C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4.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1.Основними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завданнями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</w:p>
    <w:p w14:paraId="3A2CFC22" w14:textId="77777777"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належного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 Березнянської селищної ради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6AD1817D" w14:textId="77777777"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досягнення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належного</w:t>
      </w:r>
      <w:proofErr w:type="spellEnd"/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рівня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0261782C" w14:textId="77777777"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впорядкування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руху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громади  Березнянської селищної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704BE8DA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2B30EE3B" w14:textId="77777777" w:rsidR="00276678" w:rsidRPr="00276678" w:rsidRDefault="00276678" w:rsidP="00D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5.Очікувані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14:paraId="0F3021BB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5.1.Виконання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14:paraId="448AC3AC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- збереження існуючої мережі доріг комунальної власності від руйнування;</w:t>
      </w:r>
    </w:p>
    <w:p w14:paraId="1A8174EE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руху;</w:t>
      </w:r>
    </w:p>
    <w:p w14:paraId="736F80F6" w14:textId="77777777" w:rsidR="00276678" w:rsidRPr="00276678" w:rsidRDefault="0095369D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ліквідацію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незадовільних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руху автотранспорту, у тому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маршрутів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аварійних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ділянках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шляхом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них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ремонтних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17B3478B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транспортного,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пішохідного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зв’язку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руху;</w:t>
      </w:r>
    </w:p>
    <w:p w14:paraId="53CC61CF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62D11285" w14:textId="77777777" w:rsidR="00276678" w:rsidRPr="00276678" w:rsidRDefault="00276678" w:rsidP="00953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раціональне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виділення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будівництво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реконструкцію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рем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онт та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власності.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  <w:t>            5.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2.Вирішення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проблем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покращити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імідж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призведе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соціально-економічного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Березнянської селищної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територіальної громади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цілому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клімату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сприятиме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громаду,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розвиватися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діючим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підприємствам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суб’єктів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діяльності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повноцінне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роботу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відпочинок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мешканців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громади.</w:t>
      </w:r>
    </w:p>
    <w:p w14:paraId="09C06DBC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безперешкодному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доступу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осіб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інвалідністю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маломобільних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груп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об'єктів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363E6A9D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138CCE0C" w14:textId="77777777"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6.Фінансування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1BC96101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6.1.Головний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розпорядник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Березнянська селищна рада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межах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бюджетних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призначень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передбачає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179B1126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6.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межах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видатків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с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бюд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жеті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відповідний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рік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також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рахунок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32ED919B" w14:textId="77777777" w:rsidR="00276678" w:rsidRPr="0095369D" w:rsidRDefault="00276678" w:rsidP="00953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6.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4.Програма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необхідною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ремонту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Доцільність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обґрунтованими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Державного,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бюджету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5EF7C6FE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6299D663" w14:textId="77777777"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Секретар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ради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              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Лариса МИРОНЕНКО</w:t>
      </w:r>
    </w:p>
    <w:p w14:paraId="42C2852F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3B7C2129" w14:textId="77777777" w:rsidR="00276678" w:rsidRPr="00276678" w:rsidRDefault="00276678" w:rsidP="00276678">
      <w:pPr>
        <w:rPr>
          <w:rFonts w:ascii="Times New Roman" w:hAnsi="Times New Roman" w:cs="Times New Roman"/>
          <w:sz w:val="28"/>
          <w:szCs w:val="28"/>
        </w:rPr>
      </w:pPr>
    </w:p>
    <w:p w14:paraId="2410E781" w14:textId="77777777" w:rsidR="0004730F" w:rsidRPr="00276678" w:rsidRDefault="0004730F">
      <w:pPr>
        <w:rPr>
          <w:rFonts w:ascii="Times New Roman" w:hAnsi="Times New Roman" w:cs="Times New Roman"/>
          <w:sz w:val="28"/>
          <w:szCs w:val="28"/>
        </w:rPr>
      </w:pPr>
    </w:p>
    <w:sectPr w:rsidR="0004730F" w:rsidRPr="00276678" w:rsidSect="00EB427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302C3"/>
    <w:multiLevelType w:val="hybridMultilevel"/>
    <w:tmpl w:val="3776F982"/>
    <w:lvl w:ilvl="0" w:tplc="0756AE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6B57C5"/>
    <w:multiLevelType w:val="multilevel"/>
    <w:tmpl w:val="24B6ACB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6F654B5F"/>
    <w:multiLevelType w:val="hybridMultilevel"/>
    <w:tmpl w:val="2B604B68"/>
    <w:lvl w:ilvl="0" w:tplc="BB66CB1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359"/>
    <w:rsid w:val="0004730F"/>
    <w:rsid w:val="00220177"/>
    <w:rsid w:val="00276678"/>
    <w:rsid w:val="003A6536"/>
    <w:rsid w:val="00563359"/>
    <w:rsid w:val="00790C6B"/>
    <w:rsid w:val="0095369D"/>
    <w:rsid w:val="00C222CD"/>
    <w:rsid w:val="00D14D2C"/>
    <w:rsid w:val="00DA5B18"/>
    <w:rsid w:val="00D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518D"/>
  <w15:docId w15:val="{5A2F6C41-8213-4D0D-B570-06433EDB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66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6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5235-C766-4B70-8D7B-9BAB9D6B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7238</Words>
  <Characters>4127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2025-11-27T10:53:00Z</cp:lastPrinted>
  <dcterms:created xsi:type="dcterms:W3CDTF">2025-11-03T09:55:00Z</dcterms:created>
  <dcterms:modified xsi:type="dcterms:W3CDTF">2025-11-27T10:54:00Z</dcterms:modified>
</cp:coreProperties>
</file>