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131A" w14:textId="77777777" w:rsidR="000006E2" w:rsidRPr="000006E2" w:rsidRDefault="000006E2" w:rsidP="000006E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0006E2">
        <w:rPr>
          <w:rFonts w:ascii="Times New Roman" w:hAnsi="Times New Roman" w:cs="Times New Roman"/>
          <w:noProof/>
          <w:sz w:val="32"/>
          <w:szCs w:val="20"/>
          <w:lang w:val="uk-UA"/>
        </w:rPr>
        <w:drawing>
          <wp:inline distT="0" distB="0" distL="0" distR="0" wp14:anchorId="7E2801D1" wp14:editId="5FDA9979">
            <wp:extent cx="381000" cy="571500"/>
            <wp:effectExtent l="0" t="0" r="0" b="0"/>
            <wp:docPr id="907268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6C1B6" w14:textId="77777777" w:rsidR="000006E2" w:rsidRPr="000006E2" w:rsidRDefault="000006E2" w:rsidP="000006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>У К Р А Ї Н А</w:t>
      </w:r>
    </w:p>
    <w:p w14:paraId="3B5237DD" w14:textId="77777777" w:rsidR="000006E2" w:rsidRPr="000006E2" w:rsidRDefault="000006E2" w:rsidP="000006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>БЕРЕЗНЯНСЬКА СЕЛИЩНА РАДА</w:t>
      </w:r>
    </w:p>
    <w:p w14:paraId="5C35DD78" w14:textId="77777777" w:rsidR="000006E2" w:rsidRPr="000006E2" w:rsidRDefault="000006E2" w:rsidP="000006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>/п’ятдесят восьма сесія восьмого скликання/</w:t>
      </w:r>
    </w:p>
    <w:p w14:paraId="197E29AD" w14:textId="77777777" w:rsidR="000006E2" w:rsidRPr="000006E2" w:rsidRDefault="000006E2" w:rsidP="000006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1811869A" w14:textId="77777777" w:rsidR="000006E2" w:rsidRPr="000006E2" w:rsidRDefault="000006E2" w:rsidP="000006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 xml:space="preserve">Р І Ш Е Н </w:t>
      </w:r>
      <w:proofErr w:type="spellStart"/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>Н</w:t>
      </w:r>
      <w:proofErr w:type="spellEnd"/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 xml:space="preserve"> Я</w:t>
      </w:r>
    </w:p>
    <w:p w14:paraId="7365709F" w14:textId="77777777" w:rsidR="000006E2" w:rsidRPr="000006E2" w:rsidRDefault="000006E2" w:rsidP="000006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</w:p>
    <w:p w14:paraId="159E8A30" w14:textId="6344DEDD" w:rsidR="000006E2" w:rsidRPr="000006E2" w:rsidRDefault="000006E2" w:rsidP="000006E2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>від  07 квітня 2026 року</w:t>
      </w: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 xml:space="preserve">          </w:t>
      </w: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ab/>
        <w:t xml:space="preserve"> №1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704</w:t>
      </w:r>
      <w:r w:rsidRPr="000006E2">
        <w:rPr>
          <w:rFonts w:ascii="Times New Roman" w:hAnsi="Times New Roman" w:cs="Times New Roman"/>
          <w:b/>
          <w:sz w:val="32"/>
          <w:szCs w:val="20"/>
          <w:lang w:val="uk-UA"/>
        </w:rPr>
        <w:t>/58-</w:t>
      </w:r>
      <w:r w:rsidRPr="000006E2">
        <w:rPr>
          <w:rFonts w:ascii="Times New Roman" w:hAnsi="Times New Roman" w:cs="Times New Roman"/>
          <w:b/>
          <w:sz w:val="32"/>
          <w:szCs w:val="20"/>
          <w:lang w:val="en-US"/>
        </w:rPr>
        <w:t>VIII</w:t>
      </w:r>
    </w:p>
    <w:p w14:paraId="619659B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17FE8BC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A27AE" w14:textId="77777777" w:rsidR="000006E2" w:rsidRDefault="00555D04" w:rsidP="000006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3A43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населених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</w:t>
            </w:r>
            <w:r w:rsidR="001673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унктів с. </w:t>
            </w:r>
            <w:proofErr w:type="spellStart"/>
            <w:r w:rsidR="001673F6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1673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 </w:t>
            </w:r>
          </w:p>
          <w:p w14:paraId="1E82B8F7" w14:textId="676A6BF9" w:rsidR="00ED2970" w:rsidRDefault="001673F6" w:rsidP="000006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 с. Гориця,</w:t>
            </w:r>
            <w:r w:rsidR="000006E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Лугове, </w:t>
            </w:r>
            <w:r w:rsidR="00B72CC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</w:tc>
      </w:tr>
      <w:tr w:rsidR="0061334E" w:rsidRPr="00B72CCE" w14:paraId="2D51178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47BE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B000650" w14:textId="105EC0D4" w:rsidR="00611147" w:rsidRDefault="00611147" w:rsidP="00000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</w:t>
      </w:r>
      <w:r w:rsidR="000006E2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>населен</w:t>
      </w:r>
      <w:r w:rsidR="000006E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840D3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0006E2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06E2" w:rsidRPr="000006E2">
        <w:rPr>
          <w:rFonts w:ascii="Times New Roman" w:hAnsi="Times New Roman" w:cs="Times New Roman"/>
          <w:bCs/>
          <w:sz w:val="28"/>
          <w:lang w:val="uk-UA"/>
        </w:rPr>
        <w:t>с.Локнисте</w:t>
      </w:r>
      <w:proofErr w:type="spellEnd"/>
      <w:r w:rsidR="000006E2" w:rsidRPr="000006E2">
        <w:rPr>
          <w:rFonts w:ascii="Times New Roman" w:hAnsi="Times New Roman" w:cs="Times New Roman"/>
          <w:bCs/>
          <w:sz w:val="28"/>
          <w:lang w:val="uk-UA"/>
        </w:rPr>
        <w:t xml:space="preserve">,  </w:t>
      </w:r>
      <w:proofErr w:type="spellStart"/>
      <w:r w:rsidR="000006E2" w:rsidRPr="000006E2">
        <w:rPr>
          <w:rFonts w:ascii="Times New Roman" w:hAnsi="Times New Roman" w:cs="Times New Roman"/>
          <w:bCs/>
          <w:sz w:val="28"/>
          <w:lang w:val="uk-UA"/>
        </w:rPr>
        <w:t>с.Гусавка</w:t>
      </w:r>
      <w:proofErr w:type="spellEnd"/>
      <w:r w:rsidR="000006E2" w:rsidRPr="000006E2">
        <w:rPr>
          <w:rFonts w:ascii="Times New Roman" w:hAnsi="Times New Roman" w:cs="Times New Roman"/>
          <w:bCs/>
          <w:sz w:val="28"/>
          <w:lang w:val="uk-UA"/>
        </w:rPr>
        <w:t xml:space="preserve">, </w:t>
      </w:r>
      <w:proofErr w:type="spellStart"/>
      <w:r w:rsidR="000006E2" w:rsidRPr="000006E2">
        <w:rPr>
          <w:rFonts w:ascii="Times New Roman" w:hAnsi="Times New Roman" w:cs="Times New Roman"/>
          <w:bCs/>
          <w:sz w:val="28"/>
          <w:lang w:val="uk-UA"/>
        </w:rPr>
        <w:t>с.Гориця</w:t>
      </w:r>
      <w:proofErr w:type="spellEnd"/>
      <w:r w:rsidR="000006E2" w:rsidRPr="000006E2">
        <w:rPr>
          <w:rFonts w:ascii="Times New Roman" w:hAnsi="Times New Roman" w:cs="Times New Roman"/>
          <w:bCs/>
          <w:sz w:val="28"/>
          <w:lang w:val="uk-UA"/>
        </w:rPr>
        <w:t xml:space="preserve">,  </w:t>
      </w:r>
      <w:proofErr w:type="spellStart"/>
      <w:r w:rsidR="000006E2" w:rsidRPr="000006E2">
        <w:rPr>
          <w:rFonts w:ascii="Times New Roman" w:hAnsi="Times New Roman" w:cs="Times New Roman"/>
          <w:bCs/>
          <w:sz w:val="28"/>
          <w:lang w:val="uk-UA"/>
        </w:rPr>
        <w:t>с.Лугове</w:t>
      </w:r>
      <w:proofErr w:type="spellEnd"/>
      <w:r w:rsidR="00000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 району Чернігівської області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6AFED8FE" w14:textId="635171FC" w:rsidR="00C107CA" w:rsidRPr="000006E2" w:rsidRDefault="000006E2" w:rsidP="00611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</w:t>
      </w:r>
      <w:r w:rsidRPr="000006E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ВИРІШИЛА: </w:t>
      </w:r>
    </w:p>
    <w:p w14:paraId="4DD76F60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D88D51" w14:textId="6B64BB8A"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ункту  с.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призначення, земель промисловості, транспорту, зв’язку, енергетики,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14:paraId="7AB2354A" w14:textId="77777777"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B3420F" w14:textId="39BCB17C"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2. Затвердити технічну документацію з нормативної грошової оцінки земельних ділянок усіх категорій та форм власності в межах населеного пунк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ту 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с.Гусавка</w:t>
      </w:r>
      <w:proofErr w:type="spellEnd"/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14:paraId="74F9FBC2" w14:textId="77777777"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3C382A" w14:textId="574CD276"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Затвердити технічну документацію з нормативної грошової оцінки земельних ділянок усіх категорій та форм власності в межа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х населеного пункту 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призначення, а також для земельних ділянок, які не внесені до категорії земель  за основним цільовим призначенням.</w:t>
      </w:r>
    </w:p>
    <w:p w14:paraId="6243724E" w14:textId="77777777"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850C60" w14:textId="03FF47D7" w:rsidR="00366078" w:rsidRDefault="00366078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 Затвердити технічну документацію з нормативної грошової оцінки земельних ділянок усіх категорій та форм власності в меж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ах населеного пункту 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с.Лугове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якою визначено норматив капіталізованого рентного доходу для земель житлової та громадської забудови, земель рекреаційного призначення, земель промисловості, транспорту, зв’язку, енергетики, оборони та іншого призначення, а також для земельних ділянок , які не внесені до категорії земель  за основним цільовим призначенням.</w:t>
      </w:r>
    </w:p>
    <w:p w14:paraId="1B38AA40" w14:textId="77777777" w:rsidR="00B72CCE" w:rsidRDefault="00B72CCE" w:rsidP="003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959F9" w14:textId="46220AFC" w:rsidR="008F3ABB" w:rsidRDefault="00B72CC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97C2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. Оприлюднити дане рішення згідно чинного законодавства.</w:t>
      </w:r>
    </w:p>
    <w:p w14:paraId="0C2D7EA0" w14:textId="77777777" w:rsidR="00366078" w:rsidRDefault="0036607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5F7972" w14:textId="4F48F5CE" w:rsidR="00BB04AE" w:rsidRPr="004D0E53" w:rsidRDefault="00497C2D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6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366078">
        <w:rPr>
          <w:rFonts w:ascii="Times New Roman" w:hAnsi="Times New Roman" w:cs="Times New Roman"/>
          <w:sz w:val="28"/>
          <w:szCs w:val="28"/>
          <w:lang w:val="uk-UA"/>
        </w:rPr>
        <w:t>ки з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емель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с.Гусавка</w:t>
      </w:r>
      <w:proofErr w:type="spellEnd"/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673F6">
        <w:rPr>
          <w:rFonts w:ascii="Times New Roman" w:hAnsi="Times New Roman" w:cs="Times New Roman"/>
          <w:sz w:val="28"/>
          <w:szCs w:val="28"/>
          <w:lang w:val="uk-UA"/>
        </w:rPr>
        <w:t>с.Лугове</w:t>
      </w:r>
      <w:proofErr w:type="spellEnd"/>
      <w:r w:rsidR="00B72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згі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1673F6">
        <w:rPr>
          <w:rFonts w:ascii="Times New Roman" w:hAnsi="Times New Roman" w:cs="Times New Roman"/>
          <w:sz w:val="28"/>
          <w:szCs w:val="28"/>
          <w:lang w:val="uk-UA"/>
        </w:rPr>
        <w:t xml:space="preserve"> 01.01.2027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14:paraId="11C2E28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794642" w14:textId="77777777" w:rsidR="0061334E" w:rsidRPr="00AB4ACC" w:rsidRDefault="00497C2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7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3893D6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06445B" w14:textId="60EC233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0006E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2793505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76855">
    <w:abstractNumId w:val="3"/>
  </w:num>
  <w:num w:numId="2" w16cid:durableId="1672486238">
    <w:abstractNumId w:val="4"/>
  </w:num>
  <w:num w:numId="3" w16cid:durableId="323358258">
    <w:abstractNumId w:val="1"/>
  </w:num>
  <w:num w:numId="4" w16cid:durableId="1729569575">
    <w:abstractNumId w:val="2"/>
  </w:num>
  <w:num w:numId="5" w16cid:durableId="5374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06E2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13356"/>
    <w:rsid w:val="001342FA"/>
    <w:rsid w:val="001669CF"/>
    <w:rsid w:val="001673F6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A7C4F"/>
    <w:rsid w:val="002E58C2"/>
    <w:rsid w:val="002E64C6"/>
    <w:rsid w:val="002E792F"/>
    <w:rsid w:val="00312B00"/>
    <w:rsid w:val="00323D7A"/>
    <w:rsid w:val="00336CED"/>
    <w:rsid w:val="00343E4C"/>
    <w:rsid w:val="0035460E"/>
    <w:rsid w:val="00366078"/>
    <w:rsid w:val="00392C15"/>
    <w:rsid w:val="003A4372"/>
    <w:rsid w:val="003B4CE6"/>
    <w:rsid w:val="003E699A"/>
    <w:rsid w:val="004063E3"/>
    <w:rsid w:val="004453D2"/>
    <w:rsid w:val="00497C2D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840D3"/>
    <w:rsid w:val="006B5A4B"/>
    <w:rsid w:val="006B66CD"/>
    <w:rsid w:val="006D3BEA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617F0"/>
    <w:rsid w:val="008934C8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291"/>
    <w:rsid w:val="00AE4444"/>
    <w:rsid w:val="00AE4EE9"/>
    <w:rsid w:val="00AF4279"/>
    <w:rsid w:val="00B03501"/>
    <w:rsid w:val="00B16B63"/>
    <w:rsid w:val="00B72CCE"/>
    <w:rsid w:val="00BA0015"/>
    <w:rsid w:val="00BB04AE"/>
    <w:rsid w:val="00BB0ECB"/>
    <w:rsid w:val="00BC0333"/>
    <w:rsid w:val="00BC7919"/>
    <w:rsid w:val="00BD03FB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F734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D6B3-3C0A-498D-9DA0-C938D98C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2489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2026-04-08T09:41:00Z</cp:lastPrinted>
  <dcterms:created xsi:type="dcterms:W3CDTF">2026-04-08T06:18:00Z</dcterms:created>
  <dcterms:modified xsi:type="dcterms:W3CDTF">2026-04-08T09:47:00Z</dcterms:modified>
</cp:coreProperties>
</file>